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77" w:rsidRDefault="00570A77" w:rsidP="00570A77">
      <w:pPr>
        <w:shd w:val="clear" w:color="auto" w:fill="E7E6E6" w:themeFill="background2"/>
        <w:spacing w:after="0"/>
        <w:rPr>
          <w:b/>
        </w:rPr>
      </w:pPr>
    </w:p>
    <w:p w:rsidR="00570A77" w:rsidRPr="00570A77" w:rsidRDefault="00570A77" w:rsidP="00570A77">
      <w:pPr>
        <w:shd w:val="clear" w:color="auto" w:fill="E7E6E6" w:themeFill="background2"/>
        <w:spacing w:after="0"/>
        <w:rPr>
          <w:b/>
          <w:sz w:val="24"/>
          <w:u w:val="single"/>
        </w:rPr>
      </w:pPr>
      <w:bookmarkStart w:id="0" w:name="_GoBack"/>
      <w:r w:rsidRPr="00570A77">
        <w:rPr>
          <w:b/>
          <w:sz w:val="24"/>
          <w:u w:val="single"/>
        </w:rPr>
        <w:t xml:space="preserve">Norādes IRR un </w:t>
      </w:r>
      <w:proofErr w:type="spellStart"/>
      <w:r w:rsidRPr="00570A77">
        <w:rPr>
          <w:b/>
          <w:sz w:val="24"/>
          <w:u w:val="single"/>
        </w:rPr>
        <w:t>pārkompensācijas</w:t>
      </w:r>
      <w:proofErr w:type="spellEnd"/>
      <w:r w:rsidRPr="00570A77">
        <w:rPr>
          <w:b/>
          <w:sz w:val="24"/>
          <w:u w:val="single"/>
        </w:rPr>
        <w:t xml:space="preserve"> koeficienta aprēķina veikšanai</w:t>
      </w:r>
      <w:bookmarkEnd w:id="0"/>
    </w:p>
    <w:p w:rsidR="00570A77" w:rsidRPr="00570A77" w:rsidRDefault="00570A77" w:rsidP="00570A77">
      <w:pPr>
        <w:shd w:val="clear" w:color="auto" w:fill="E7E6E6" w:themeFill="background2"/>
        <w:spacing w:after="0"/>
        <w:rPr>
          <w:b/>
        </w:rPr>
      </w:pPr>
    </w:p>
    <w:p w:rsidR="00DA421C" w:rsidRDefault="00DA421C" w:rsidP="00A03ECC">
      <w:pPr>
        <w:rPr>
          <w:b/>
        </w:rPr>
      </w:pPr>
    </w:p>
    <w:p w:rsidR="000E0461" w:rsidRPr="00DA421C" w:rsidRDefault="00A03ECC" w:rsidP="00A03ECC">
      <w:pPr>
        <w:rPr>
          <w:b/>
        </w:rPr>
      </w:pPr>
      <w:r w:rsidRPr="00DA421C">
        <w:rPr>
          <w:b/>
        </w:rPr>
        <w:t xml:space="preserve">1.solis. </w:t>
      </w:r>
      <w:r w:rsidR="00612701" w:rsidRPr="00DA421C">
        <w:rPr>
          <w:b/>
        </w:rPr>
        <w:t>IRR aprēķināšana:</w:t>
      </w:r>
    </w:p>
    <w:p w:rsidR="00612701" w:rsidRDefault="00DA421C" w:rsidP="00C52870">
      <w:pPr>
        <w:pStyle w:val="ListParagraph"/>
        <w:numPr>
          <w:ilvl w:val="0"/>
          <w:numId w:val="1"/>
        </w:numPr>
        <w:jc w:val="both"/>
      </w:pPr>
      <w:r>
        <w:t xml:space="preserve">Elektrostacijas veidam atbilstošā </w:t>
      </w:r>
      <w:proofErr w:type="spellStart"/>
      <w:r w:rsidRPr="00DA421C">
        <w:rPr>
          <w:i/>
        </w:rPr>
        <w:t>excel</w:t>
      </w:r>
      <w:proofErr w:type="spellEnd"/>
      <w:r>
        <w:t xml:space="preserve"> faila 1.lapā “</w:t>
      </w:r>
      <w:proofErr w:type="spellStart"/>
      <w:r>
        <w:t>Datu_ievade</w:t>
      </w:r>
      <w:proofErr w:type="spellEnd"/>
      <w:r>
        <w:t>” i</w:t>
      </w:r>
      <w:r w:rsidR="00612701">
        <w:t>e</w:t>
      </w:r>
      <w:r>
        <w:t>vadiet datus par elektrostaciju;</w:t>
      </w:r>
    </w:p>
    <w:p w:rsidR="00612701" w:rsidRDefault="00612701" w:rsidP="00C52870">
      <w:pPr>
        <w:pStyle w:val="ListParagraph"/>
        <w:numPr>
          <w:ilvl w:val="0"/>
          <w:numId w:val="1"/>
        </w:numPr>
        <w:jc w:val="both"/>
      </w:pPr>
      <w:r>
        <w:t>2.lapā rindā “</w:t>
      </w:r>
      <w:r w:rsidRPr="00612701">
        <w:t>SEN (jāaizpilda ar faktisko likmi pa mēnešiem)</w:t>
      </w:r>
      <w:r>
        <w:t>” ievadiet faktiskās elektrostacijai piemērotās SEN likmes. Nākotnes periodam līdz 2017.gada beigām norādiet tādas SEN likmes, kas sakrīt ar pēdējo faktiski piemēroto SEN likmi</w:t>
      </w:r>
      <w:r w:rsidR="00570A77">
        <w:t xml:space="preserve"> (</w:t>
      </w:r>
      <w:proofErr w:type="spellStart"/>
      <w:r w:rsidR="00570A77">
        <w:t>sk.norādes</w:t>
      </w:r>
      <w:proofErr w:type="spellEnd"/>
      <w:r w:rsidR="00570A77">
        <w:t xml:space="preserve"> attēlā)</w:t>
      </w:r>
      <w:r w:rsidR="00DA421C">
        <w:t>;</w:t>
      </w:r>
    </w:p>
    <w:p w:rsidR="00A11FD4" w:rsidRDefault="00570A77" w:rsidP="00570A77">
      <w:pPr>
        <w:pStyle w:val="ListParagraph"/>
        <w:ind w:left="0"/>
        <w:jc w:val="center"/>
      </w:pPr>
      <w:r>
        <w:rPr>
          <w:noProof/>
          <w:lang w:eastAsia="lv-LV"/>
        </w:rPr>
        <w:drawing>
          <wp:inline distT="0" distB="0" distL="0" distR="0">
            <wp:extent cx="5741053" cy="2828925"/>
            <wp:effectExtent l="0" t="0" r="0" b="0"/>
            <wp:docPr id="1" name="Picture 1" descr="S:\Atjaunojamo energoresursu nodaļa\Līga\OIK\IRR\instrukcija\SEN_IRR skaidrojum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tjaunojamo energoresursu nodaļa\Līga\OIK\IRR\instrukcija\SEN_IRR skaidrojum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20" cy="283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D4" w:rsidRDefault="00A11FD4" w:rsidP="00A11FD4">
      <w:pPr>
        <w:pStyle w:val="ListParagraph"/>
        <w:jc w:val="both"/>
      </w:pPr>
    </w:p>
    <w:p w:rsidR="00A03ECC" w:rsidRDefault="00A03ECC" w:rsidP="00A03ECC">
      <w:pPr>
        <w:pStyle w:val="ListParagraph"/>
        <w:numPr>
          <w:ilvl w:val="0"/>
          <w:numId w:val="1"/>
        </w:numPr>
      </w:pPr>
      <w:r>
        <w:t xml:space="preserve">Ja IRR pirms </w:t>
      </w:r>
      <w:proofErr w:type="spellStart"/>
      <w:r>
        <w:t>pārkompensācijas</w:t>
      </w:r>
      <w:proofErr w:type="spellEnd"/>
      <w:r>
        <w:t xml:space="preserve"> koeficienta piemērošanas ir lielāks par 9,000%, aprēķiniet </w:t>
      </w:r>
      <w:proofErr w:type="spellStart"/>
      <w:r>
        <w:t>Pārkompensācijas</w:t>
      </w:r>
      <w:proofErr w:type="spellEnd"/>
      <w:r>
        <w:t xml:space="preserve"> koeficientu</w:t>
      </w:r>
      <w:r w:rsidR="002D44DD">
        <w:t xml:space="preserve"> (skatīt 2.</w:t>
      </w:r>
      <w:r w:rsidR="00DA421C">
        <w:t>soli);</w:t>
      </w:r>
    </w:p>
    <w:p w:rsidR="003E4092" w:rsidRDefault="00A03ECC" w:rsidP="00A03ECC">
      <w:pPr>
        <w:pStyle w:val="ListParagraph"/>
        <w:numPr>
          <w:ilvl w:val="0"/>
          <w:numId w:val="1"/>
        </w:numPr>
      </w:pPr>
      <w:r>
        <w:t xml:space="preserve">Ja IRR nav lielāks par 9,000%, </w:t>
      </w:r>
      <w:proofErr w:type="spellStart"/>
      <w:r>
        <w:t>pārkompensācijas</w:t>
      </w:r>
      <w:proofErr w:type="spellEnd"/>
      <w:r>
        <w:t xml:space="preserve"> koeficients ir 1 un tas neietekmēs elektroenerģijas iepirkuma cenu.</w:t>
      </w:r>
    </w:p>
    <w:p w:rsidR="00A03ECC" w:rsidRPr="00DA421C" w:rsidRDefault="00A03ECC" w:rsidP="00A03ECC">
      <w:pPr>
        <w:rPr>
          <w:b/>
        </w:rPr>
      </w:pPr>
      <w:r w:rsidRPr="00DA421C">
        <w:rPr>
          <w:b/>
        </w:rPr>
        <w:t xml:space="preserve">2. solis. </w:t>
      </w:r>
      <w:proofErr w:type="spellStart"/>
      <w:r w:rsidRPr="00DA421C">
        <w:rPr>
          <w:b/>
        </w:rPr>
        <w:t>Pārkompensācijas</w:t>
      </w:r>
      <w:proofErr w:type="spellEnd"/>
      <w:r w:rsidRPr="00DA421C">
        <w:rPr>
          <w:b/>
        </w:rPr>
        <w:t xml:space="preserve"> koeficienta aprēķināšana:</w:t>
      </w:r>
    </w:p>
    <w:p w:rsidR="00A03ECC" w:rsidRDefault="00417092" w:rsidP="00A03ECC">
      <w:pPr>
        <w:pStyle w:val="ListParagraph"/>
        <w:numPr>
          <w:ilvl w:val="0"/>
          <w:numId w:val="2"/>
        </w:numPr>
        <w:jc w:val="both"/>
      </w:pPr>
      <w:r>
        <w:t>2.lapā, šūnā, kas apzīmēta kā “</w:t>
      </w:r>
      <w:proofErr w:type="spellStart"/>
      <w:r>
        <w:t>Pārkompensācijas</w:t>
      </w:r>
      <w:proofErr w:type="spellEnd"/>
      <w:r>
        <w:t xml:space="preserve"> koeficients” ievadiet </w:t>
      </w:r>
      <w:r w:rsidR="00A03ECC">
        <w:t>skaitli “</w:t>
      </w:r>
      <w:r>
        <w:t>1</w:t>
      </w:r>
      <w:r w:rsidR="00A03ECC">
        <w:t>”</w:t>
      </w:r>
      <w:r>
        <w:t xml:space="preserve"> (B kolonna)</w:t>
      </w:r>
    </w:p>
    <w:p w:rsidR="00C52870" w:rsidRPr="00A03ECC" w:rsidRDefault="00417092" w:rsidP="00A03ECC">
      <w:pPr>
        <w:pStyle w:val="ListParagraph"/>
        <w:numPr>
          <w:ilvl w:val="0"/>
          <w:numId w:val="2"/>
        </w:numPr>
        <w:jc w:val="both"/>
      </w:pPr>
      <w:r>
        <w:t>Šūnās, kas apzīmētas kā “</w:t>
      </w:r>
      <w:proofErr w:type="spellStart"/>
      <w:r>
        <w:t>Pārkompensācijas</w:t>
      </w:r>
      <w:proofErr w:type="spellEnd"/>
      <w:r>
        <w:t xml:space="preserve"> koeficients spēkā no” ievadiet gadu un mēnesi, kurā stāsies spēkā </w:t>
      </w:r>
      <w:proofErr w:type="spellStart"/>
      <w:r>
        <w:t>pārkompensācijas</w:t>
      </w:r>
      <w:proofErr w:type="spellEnd"/>
      <w:r>
        <w:t xml:space="preserve"> koeficients. </w:t>
      </w:r>
    </w:p>
    <w:p w:rsidR="00A03ECC" w:rsidRPr="00A03ECC" w:rsidRDefault="00417092" w:rsidP="00A03ECC">
      <w:pPr>
        <w:pStyle w:val="ListParagraph"/>
        <w:jc w:val="both"/>
        <w:rPr>
          <w:i/>
          <w:sz w:val="20"/>
        </w:rPr>
      </w:pPr>
      <w:r w:rsidRPr="00C52870">
        <w:rPr>
          <w:i/>
          <w:sz w:val="20"/>
        </w:rPr>
        <w:t xml:space="preserve">Komersantiem, kas izmantojuši obligātā iepirkuma tiesības piecus pilnus gadus 2017. gadā, </w:t>
      </w:r>
      <w:r w:rsidR="00C52870" w:rsidRPr="00C52870">
        <w:rPr>
          <w:i/>
          <w:sz w:val="20"/>
        </w:rPr>
        <w:t xml:space="preserve">Ekonomikas ministrijas aprēķinātais </w:t>
      </w:r>
      <w:proofErr w:type="spellStart"/>
      <w:r w:rsidR="00A55DA8" w:rsidRPr="00C52870">
        <w:rPr>
          <w:i/>
          <w:sz w:val="20"/>
        </w:rPr>
        <w:t>pārkompensācijas</w:t>
      </w:r>
      <w:proofErr w:type="spellEnd"/>
      <w:r w:rsidR="00A55DA8" w:rsidRPr="00C52870">
        <w:rPr>
          <w:i/>
          <w:sz w:val="20"/>
        </w:rPr>
        <w:t xml:space="preserve"> koeficients tiks piemērots no 2017.gada 1.jūlija vai 1.augus</w:t>
      </w:r>
      <w:r w:rsidR="002D44DD">
        <w:rPr>
          <w:i/>
          <w:sz w:val="20"/>
        </w:rPr>
        <w:t xml:space="preserve">ta (atkarībā no lēmuma par </w:t>
      </w:r>
      <w:proofErr w:type="spellStart"/>
      <w:r w:rsidR="002D44DD">
        <w:rPr>
          <w:i/>
          <w:sz w:val="20"/>
        </w:rPr>
        <w:t>pārkompensācijas</w:t>
      </w:r>
      <w:proofErr w:type="spellEnd"/>
      <w:r w:rsidR="002D44DD">
        <w:rPr>
          <w:i/>
          <w:sz w:val="20"/>
        </w:rPr>
        <w:t xml:space="preserve"> koeficienta piemērošanu spēkā stāšanās</w:t>
      </w:r>
      <w:r w:rsidR="00A55DA8" w:rsidRPr="00C52870">
        <w:rPr>
          <w:i/>
          <w:sz w:val="20"/>
        </w:rPr>
        <w:t xml:space="preserve"> brīža).</w:t>
      </w:r>
    </w:p>
    <w:p w:rsidR="00417092" w:rsidRPr="00A03ECC" w:rsidRDefault="00417092" w:rsidP="00A03ECC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A03ECC">
        <w:t>Spiediet pogu “Aprēķināt”</w:t>
      </w:r>
    </w:p>
    <w:p w:rsidR="00612701" w:rsidRDefault="00C52870" w:rsidP="00A03ECC">
      <w:pPr>
        <w:pStyle w:val="ListParagraph"/>
        <w:numPr>
          <w:ilvl w:val="0"/>
          <w:numId w:val="2"/>
        </w:numPr>
        <w:jc w:val="both"/>
      </w:pPr>
      <w:r>
        <w:t>Gadījumā, ja parādās</w:t>
      </w:r>
      <w:r w:rsidR="00620BD3">
        <w:t xml:space="preserve"> </w:t>
      </w:r>
      <w:r w:rsidR="000A5F52">
        <w:t>paziņojums “</w:t>
      </w:r>
      <w:proofErr w:type="spellStart"/>
      <w:r w:rsidR="008E082B" w:rsidRPr="00C52870">
        <w:rPr>
          <w:i/>
        </w:rPr>
        <w:t>Cannot</w:t>
      </w:r>
      <w:proofErr w:type="spellEnd"/>
      <w:r w:rsidR="008E082B" w:rsidRPr="00C52870">
        <w:rPr>
          <w:i/>
        </w:rPr>
        <w:t xml:space="preserve"> </w:t>
      </w:r>
      <w:proofErr w:type="spellStart"/>
      <w:r w:rsidR="008E082B" w:rsidRPr="00C52870">
        <w:rPr>
          <w:i/>
        </w:rPr>
        <w:t>run</w:t>
      </w:r>
      <w:proofErr w:type="spellEnd"/>
      <w:r w:rsidR="008E082B" w:rsidRPr="00C52870">
        <w:rPr>
          <w:i/>
        </w:rPr>
        <w:t xml:space="preserve"> </w:t>
      </w:r>
      <w:proofErr w:type="spellStart"/>
      <w:r w:rsidR="008E082B" w:rsidRPr="00C52870">
        <w:rPr>
          <w:i/>
        </w:rPr>
        <w:t>the</w:t>
      </w:r>
      <w:proofErr w:type="spellEnd"/>
      <w:r w:rsidR="008E082B" w:rsidRPr="00C52870">
        <w:rPr>
          <w:i/>
        </w:rPr>
        <w:t xml:space="preserve"> </w:t>
      </w:r>
      <w:proofErr w:type="spellStart"/>
      <w:r w:rsidR="008E082B" w:rsidRPr="00C52870">
        <w:rPr>
          <w:i/>
        </w:rPr>
        <w:t>macro</w:t>
      </w:r>
      <w:proofErr w:type="spellEnd"/>
      <w:r w:rsidR="008E082B" w:rsidRPr="00C52870">
        <w:rPr>
          <w:i/>
        </w:rPr>
        <w:t>..</w:t>
      </w:r>
      <w:r w:rsidR="008E082B">
        <w:t>”</w:t>
      </w:r>
      <w:r>
        <w:t>, spiediet “</w:t>
      </w:r>
      <w:proofErr w:type="spellStart"/>
      <w:r w:rsidRPr="00C52870">
        <w:rPr>
          <w:i/>
        </w:rPr>
        <w:t>File</w:t>
      </w:r>
      <w:proofErr w:type="spellEnd"/>
      <w:r>
        <w:t xml:space="preserve">” </w:t>
      </w:r>
      <w:r>
        <w:sym w:font="Wingdings" w:char="F0E0"/>
      </w:r>
      <w:r>
        <w:t xml:space="preserve"> “</w:t>
      </w:r>
      <w:r w:rsidRPr="00C52870">
        <w:rPr>
          <w:i/>
        </w:rPr>
        <w:t>Info</w:t>
      </w:r>
      <w:r>
        <w:t>”</w:t>
      </w:r>
      <w:r>
        <w:sym w:font="Wingdings" w:char="F0E0"/>
      </w:r>
      <w:r>
        <w:t xml:space="preserve"> “</w:t>
      </w:r>
      <w:proofErr w:type="spellStart"/>
      <w:r w:rsidRPr="00C52870">
        <w:rPr>
          <w:i/>
        </w:rPr>
        <w:t>Enable</w:t>
      </w:r>
      <w:proofErr w:type="spellEnd"/>
      <w:r w:rsidRPr="00C52870">
        <w:rPr>
          <w:i/>
        </w:rPr>
        <w:t xml:space="preserve"> </w:t>
      </w:r>
      <w:proofErr w:type="spellStart"/>
      <w:r w:rsidRPr="00C52870">
        <w:rPr>
          <w:i/>
        </w:rPr>
        <w:t>content</w:t>
      </w:r>
      <w:proofErr w:type="spellEnd"/>
      <w:r>
        <w:t xml:space="preserve">” </w:t>
      </w:r>
      <w:r>
        <w:sym w:font="Wingdings" w:char="F0E0"/>
      </w:r>
      <w:r>
        <w:t xml:space="preserve"> “</w:t>
      </w:r>
      <w:proofErr w:type="spellStart"/>
      <w:r w:rsidRPr="00C52870">
        <w:rPr>
          <w:i/>
        </w:rPr>
        <w:t>Enable</w:t>
      </w:r>
      <w:proofErr w:type="spellEnd"/>
      <w:r w:rsidRPr="00C52870">
        <w:rPr>
          <w:i/>
        </w:rPr>
        <w:t xml:space="preserve"> </w:t>
      </w:r>
      <w:proofErr w:type="spellStart"/>
      <w:r w:rsidRPr="00C52870">
        <w:rPr>
          <w:i/>
        </w:rPr>
        <w:t>all</w:t>
      </w:r>
      <w:proofErr w:type="spellEnd"/>
      <w:r w:rsidRPr="00C52870">
        <w:rPr>
          <w:i/>
        </w:rPr>
        <w:t xml:space="preserve"> </w:t>
      </w:r>
      <w:proofErr w:type="spellStart"/>
      <w:r w:rsidRPr="00C52870">
        <w:rPr>
          <w:i/>
        </w:rPr>
        <w:t>content</w:t>
      </w:r>
      <w:proofErr w:type="spellEnd"/>
      <w:r>
        <w:t>”</w:t>
      </w:r>
    </w:p>
    <w:p w:rsidR="002D44DD" w:rsidRDefault="00A03ECC" w:rsidP="003E464B">
      <w:pPr>
        <w:pStyle w:val="ListParagraph"/>
        <w:numPr>
          <w:ilvl w:val="0"/>
          <w:numId w:val="2"/>
        </w:numPr>
        <w:jc w:val="both"/>
      </w:pPr>
      <w:r>
        <w:t xml:space="preserve">Tiek iegūta </w:t>
      </w:r>
      <w:proofErr w:type="spellStart"/>
      <w:r>
        <w:t>Pārko</w:t>
      </w:r>
      <w:r w:rsidR="00392CB8">
        <w:t>mpensācijas</w:t>
      </w:r>
      <w:proofErr w:type="spellEnd"/>
      <w:r w:rsidR="00392CB8">
        <w:t xml:space="preserve"> koeficienta vērtība</w:t>
      </w:r>
      <w:r w:rsidR="002D44DD">
        <w:t>, ko piemēros kā reizinātāju elektroenerģijas iepirkuma cenai</w:t>
      </w:r>
      <w:r w:rsidR="00392CB8">
        <w:t xml:space="preserve">. </w:t>
      </w:r>
    </w:p>
    <w:p w:rsidR="00612701" w:rsidRDefault="00392CB8" w:rsidP="00570A77">
      <w:pPr>
        <w:pStyle w:val="ListParagraph"/>
        <w:jc w:val="both"/>
      </w:pPr>
      <w:r>
        <w:t>J</w:t>
      </w:r>
      <w:r w:rsidR="00A03ECC">
        <w:t xml:space="preserve">āņem vērā, ka </w:t>
      </w:r>
      <w:proofErr w:type="spellStart"/>
      <w:r w:rsidR="002D44DD">
        <w:t>pārkompensācijas</w:t>
      </w:r>
      <w:proofErr w:type="spellEnd"/>
      <w:r w:rsidR="002D44DD">
        <w:t xml:space="preserve"> koeficientu piemēros</w:t>
      </w:r>
      <w:r w:rsidR="00BF137D">
        <w:t xml:space="preserve"> ar precizitāti līdz tūkstoš</w:t>
      </w:r>
      <w:r w:rsidR="00A03ECC">
        <w:t>daļai</w:t>
      </w:r>
      <w:r w:rsidR="003E464B">
        <w:t xml:space="preserve">. Savukārt vērtībai “IRR pēc </w:t>
      </w:r>
      <w:proofErr w:type="spellStart"/>
      <w:r w:rsidR="003E464B">
        <w:t>pārkompensācijas</w:t>
      </w:r>
      <w:proofErr w:type="spellEnd"/>
      <w:r w:rsidR="003E464B">
        <w:t xml:space="preserve"> koeficienta piemērošanas” jābūt vistuvākajai v</w:t>
      </w:r>
      <w:r w:rsidR="002D44DD">
        <w:t xml:space="preserve">ērtībai, kas nepārsniedz 9,000% (Excel aprēķināto rezultātu var būt nepieciešams </w:t>
      </w:r>
      <w:r w:rsidR="00570A77">
        <w:t xml:space="preserve">nedaudz </w:t>
      </w:r>
      <w:r w:rsidR="002D44DD">
        <w:t>koriģēt, lai izpildītos minētie nosacījumi).</w:t>
      </w:r>
    </w:p>
    <w:sectPr w:rsidR="00612701" w:rsidSect="00B22888">
      <w:footerReference w:type="default" r:id="rId8"/>
      <w:pgSz w:w="11906" w:h="16838"/>
      <w:pgMar w:top="851" w:right="155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77" w:rsidRDefault="00570A77" w:rsidP="00570A77">
      <w:pPr>
        <w:spacing w:after="0" w:line="240" w:lineRule="auto"/>
      </w:pPr>
      <w:r>
        <w:separator/>
      </w:r>
    </w:p>
  </w:endnote>
  <w:endnote w:type="continuationSeparator" w:id="0">
    <w:p w:rsidR="00570A77" w:rsidRDefault="00570A77" w:rsidP="0057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77" w:rsidRDefault="00570A77">
    <w:pPr>
      <w:pStyle w:val="Footer"/>
    </w:pPr>
    <w:r>
      <w:t xml:space="preserve">Ekonomikas ministrija, Atjaunojamo energoresursu un energoefektivitātes departaments, Atjaunojamo energoresursu nodaļa </w:t>
    </w:r>
  </w:p>
  <w:p w:rsidR="00570A77" w:rsidRDefault="0057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77" w:rsidRDefault="00570A77" w:rsidP="00570A77">
      <w:pPr>
        <w:spacing w:after="0" w:line="240" w:lineRule="auto"/>
      </w:pPr>
      <w:r>
        <w:separator/>
      </w:r>
    </w:p>
  </w:footnote>
  <w:footnote w:type="continuationSeparator" w:id="0">
    <w:p w:rsidR="00570A77" w:rsidRDefault="00570A77" w:rsidP="0057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066"/>
    <w:multiLevelType w:val="hybridMultilevel"/>
    <w:tmpl w:val="20885C18"/>
    <w:lvl w:ilvl="0" w:tplc="7DE8B5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48AD"/>
    <w:multiLevelType w:val="hybridMultilevel"/>
    <w:tmpl w:val="78781618"/>
    <w:lvl w:ilvl="0" w:tplc="1F8C8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85B3D"/>
    <w:multiLevelType w:val="hybridMultilevel"/>
    <w:tmpl w:val="4322F8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D3743"/>
    <w:multiLevelType w:val="hybridMultilevel"/>
    <w:tmpl w:val="C25AA2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01"/>
    <w:rsid w:val="000372E8"/>
    <w:rsid w:val="000A5F52"/>
    <w:rsid w:val="000E0461"/>
    <w:rsid w:val="002D44DD"/>
    <w:rsid w:val="00392CB8"/>
    <w:rsid w:val="003E4092"/>
    <w:rsid w:val="003E464B"/>
    <w:rsid w:val="00417092"/>
    <w:rsid w:val="00570A77"/>
    <w:rsid w:val="00612701"/>
    <w:rsid w:val="00620BD3"/>
    <w:rsid w:val="008E082B"/>
    <w:rsid w:val="00914158"/>
    <w:rsid w:val="00A03ECC"/>
    <w:rsid w:val="00A11FD4"/>
    <w:rsid w:val="00A55DA8"/>
    <w:rsid w:val="00B22888"/>
    <w:rsid w:val="00BF137D"/>
    <w:rsid w:val="00C52870"/>
    <w:rsid w:val="00D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2D6BF-E491-4882-8F7D-C72BA42F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77"/>
  </w:style>
  <w:style w:type="paragraph" w:styleId="Footer">
    <w:name w:val="footer"/>
    <w:basedOn w:val="Normal"/>
    <w:link w:val="FooterChar"/>
    <w:uiPriority w:val="99"/>
    <w:unhideWhenUsed/>
    <w:rsid w:val="00570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Dreijalte</dc:creator>
  <cp:keywords/>
  <dc:description/>
  <cp:lastModifiedBy>Roberts Meijers</cp:lastModifiedBy>
  <cp:revision>2</cp:revision>
  <dcterms:created xsi:type="dcterms:W3CDTF">2017-05-17T14:18:00Z</dcterms:created>
  <dcterms:modified xsi:type="dcterms:W3CDTF">2017-05-17T14:18:00Z</dcterms:modified>
</cp:coreProperties>
</file>