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D2179" w14:textId="5C635887" w:rsidR="00625D96" w:rsidRPr="008A4E3A" w:rsidRDefault="00CA1DD2" w:rsidP="00625D96">
      <w:pPr>
        <w:jc w:val="right"/>
        <w:rPr>
          <w:sz w:val="28"/>
          <w:szCs w:val="28"/>
        </w:rPr>
      </w:pPr>
      <w:bookmarkStart w:id="0" w:name="_Hlk82614265"/>
      <w:bookmarkStart w:id="1" w:name="_Hlk82614706"/>
      <w:r>
        <w:rPr>
          <w:sz w:val="28"/>
          <w:szCs w:val="28"/>
        </w:rPr>
        <w:t>1. p</w:t>
      </w:r>
      <w:r w:rsidR="00625D96" w:rsidRPr="008A4E3A">
        <w:rPr>
          <w:sz w:val="28"/>
          <w:szCs w:val="28"/>
        </w:rPr>
        <w:t xml:space="preserve">ielikums </w:t>
      </w:r>
    </w:p>
    <w:p w14:paraId="762A2839" w14:textId="77777777" w:rsidR="00625D96" w:rsidRPr="008A4E3A" w:rsidRDefault="00625D96" w:rsidP="00625D96">
      <w:pPr>
        <w:jc w:val="right"/>
        <w:rPr>
          <w:sz w:val="28"/>
          <w:szCs w:val="28"/>
        </w:rPr>
      </w:pPr>
      <w:r w:rsidRPr="008A4E3A">
        <w:rPr>
          <w:sz w:val="28"/>
          <w:szCs w:val="28"/>
        </w:rPr>
        <w:t xml:space="preserve">Ministru kabineta </w:t>
      </w:r>
    </w:p>
    <w:p w14:paraId="4A5609EB" w14:textId="3557950B" w:rsidR="00625D96" w:rsidRPr="008A4E3A" w:rsidRDefault="00625D96" w:rsidP="00625D96">
      <w:pPr>
        <w:jc w:val="right"/>
        <w:rPr>
          <w:sz w:val="28"/>
          <w:szCs w:val="28"/>
        </w:rPr>
      </w:pPr>
      <w:r w:rsidRPr="008A4E3A">
        <w:rPr>
          <w:sz w:val="28"/>
          <w:szCs w:val="28"/>
        </w:rPr>
        <w:t>202</w:t>
      </w:r>
      <w:r w:rsidR="007B1238">
        <w:rPr>
          <w:sz w:val="28"/>
          <w:szCs w:val="28"/>
        </w:rPr>
        <w:t>2</w:t>
      </w:r>
      <w:r w:rsidRPr="008A4E3A">
        <w:rPr>
          <w:sz w:val="28"/>
          <w:szCs w:val="28"/>
        </w:rPr>
        <w:t xml:space="preserve">. gada__. ____ </w:t>
      </w:r>
    </w:p>
    <w:p w14:paraId="61C755E9" w14:textId="77777777" w:rsidR="00625D96" w:rsidRPr="008A4E3A" w:rsidRDefault="00625D96" w:rsidP="00625D96">
      <w:pPr>
        <w:jc w:val="right"/>
        <w:rPr>
          <w:sz w:val="28"/>
          <w:szCs w:val="28"/>
        </w:rPr>
      </w:pPr>
      <w:r w:rsidRPr="008A4E3A">
        <w:rPr>
          <w:sz w:val="28"/>
          <w:szCs w:val="28"/>
        </w:rPr>
        <w:t>noteikumiem Nr. __</w:t>
      </w:r>
    </w:p>
    <w:bookmarkEnd w:id="0"/>
    <w:p w14:paraId="3737A7CF" w14:textId="77777777" w:rsidR="00EA0D87" w:rsidRPr="008A4E3A" w:rsidRDefault="00EA0D87" w:rsidP="00EA0D87">
      <w:pPr>
        <w:pStyle w:val="naisf"/>
        <w:spacing w:before="0" w:after="0"/>
        <w:ind w:firstLine="0"/>
        <w:jc w:val="right"/>
        <w:rPr>
          <w:bCs/>
          <w:sz w:val="26"/>
          <w:szCs w:val="26"/>
        </w:rPr>
      </w:pPr>
    </w:p>
    <w:bookmarkEnd w:id="1"/>
    <w:p w14:paraId="03BCD9D9" w14:textId="03790969" w:rsidR="00AC4C7A" w:rsidRDefault="00141F73" w:rsidP="00BD66BF">
      <w:pPr>
        <w:pStyle w:val="naisf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8A4E3A">
        <w:rPr>
          <w:b/>
          <w:bCs/>
          <w:sz w:val="28"/>
          <w:szCs w:val="28"/>
        </w:rPr>
        <w:t>Kvalitātes prasības benzīnam</w:t>
      </w:r>
      <w:r w:rsidR="00763367" w:rsidRPr="00763367">
        <w:rPr>
          <w:sz w:val="28"/>
          <w:szCs w:val="28"/>
          <w:vertAlign w:val="superscript"/>
        </w:rPr>
        <w:t>1</w:t>
      </w:r>
      <w:r w:rsidR="00886057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706"/>
        <w:gridCol w:w="4266"/>
        <w:gridCol w:w="1963"/>
        <w:gridCol w:w="1274"/>
        <w:gridCol w:w="1430"/>
      </w:tblGrid>
      <w:tr w:rsidR="00BD66BF" w:rsidRPr="000B1E05" w14:paraId="1CF6B5BB" w14:textId="77777777" w:rsidTr="00261074">
        <w:trPr>
          <w:jc w:val="center"/>
        </w:trPr>
        <w:tc>
          <w:tcPr>
            <w:tcW w:w="706" w:type="dxa"/>
            <w:vMerge w:val="restart"/>
            <w:vAlign w:val="center"/>
          </w:tcPr>
          <w:p w14:paraId="6AB70B74" w14:textId="77777777" w:rsidR="00BD66BF" w:rsidRPr="00550287" w:rsidRDefault="00BD66BF" w:rsidP="00CB023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550287">
              <w:t>Nr.</w:t>
            </w:r>
          </w:p>
        </w:tc>
        <w:tc>
          <w:tcPr>
            <w:tcW w:w="4266" w:type="dxa"/>
            <w:vMerge w:val="restart"/>
            <w:vAlign w:val="center"/>
          </w:tcPr>
          <w:p w14:paraId="0B3F56C8" w14:textId="77777777" w:rsidR="00BD66BF" w:rsidRPr="000B1E05" w:rsidRDefault="00BD66BF" w:rsidP="00CB023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0B1E05">
              <w:rPr>
                <w:sz w:val="28"/>
                <w:szCs w:val="28"/>
              </w:rPr>
              <w:t>ndikators</w:t>
            </w:r>
          </w:p>
        </w:tc>
        <w:tc>
          <w:tcPr>
            <w:tcW w:w="1963" w:type="dxa"/>
            <w:vMerge w:val="restart"/>
            <w:vAlign w:val="center"/>
          </w:tcPr>
          <w:p w14:paraId="17F0F0E1" w14:textId="77777777" w:rsidR="00BD66BF" w:rsidRPr="000B1E05" w:rsidRDefault="00BD66BF" w:rsidP="00CB023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0B1E05">
              <w:rPr>
                <w:sz w:val="28"/>
                <w:szCs w:val="28"/>
              </w:rPr>
              <w:t>ērvienība</w:t>
            </w:r>
          </w:p>
        </w:tc>
        <w:tc>
          <w:tcPr>
            <w:tcW w:w="2704" w:type="dxa"/>
            <w:gridSpan w:val="2"/>
            <w:vAlign w:val="center"/>
          </w:tcPr>
          <w:p w14:paraId="1155A063" w14:textId="25F357B9" w:rsidR="00BD66BF" w:rsidRPr="000B1E05" w:rsidRDefault="00763367" w:rsidP="00CB023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BD66BF" w:rsidRPr="000B1E05">
              <w:rPr>
                <w:sz w:val="28"/>
                <w:szCs w:val="28"/>
              </w:rPr>
              <w:t>obežvērtības</w:t>
            </w:r>
          </w:p>
        </w:tc>
      </w:tr>
      <w:tr w:rsidR="00BD66BF" w:rsidRPr="000B1E05" w14:paraId="56957D9C" w14:textId="77777777" w:rsidTr="00261074">
        <w:trPr>
          <w:jc w:val="center"/>
        </w:trPr>
        <w:tc>
          <w:tcPr>
            <w:tcW w:w="706" w:type="dxa"/>
            <w:vMerge/>
            <w:vAlign w:val="center"/>
          </w:tcPr>
          <w:p w14:paraId="3FA69083" w14:textId="77777777" w:rsidR="00BD66BF" w:rsidRPr="00550287" w:rsidRDefault="00BD66BF" w:rsidP="00CB023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66" w:type="dxa"/>
            <w:vMerge/>
            <w:vAlign w:val="center"/>
          </w:tcPr>
          <w:p w14:paraId="7402D9AA" w14:textId="77777777" w:rsidR="00BD66BF" w:rsidRPr="000B1E05" w:rsidRDefault="00BD66BF" w:rsidP="00CB023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63" w:type="dxa"/>
            <w:vMerge/>
            <w:vAlign w:val="center"/>
          </w:tcPr>
          <w:p w14:paraId="2C653410" w14:textId="77777777" w:rsidR="00BD66BF" w:rsidRPr="000B1E05" w:rsidRDefault="00BD66BF" w:rsidP="00CB023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18B1378" w14:textId="77777777" w:rsidR="00BD66BF" w:rsidRPr="000B1E05" w:rsidRDefault="00BD66BF" w:rsidP="00CB023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0B1E05">
              <w:rPr>
                <w:sz w:val="28"/>
                <w:szCs w:val="28"/>
              </w:rPr>
              <w:t>inimālā</w:t>
            </w:r>
          </w:p>
        </w:tc>
        <w:tc>
          <w:tcPr>
            <w:tcW w:w="1430" w:type="dxa"/>
            <w:vAlign w:val="center"/>
          </w:tcPr>
          <w:p w14:paraId="0F76AB47" w14:textId="77777777" w:rsidR="00BD66BF" w:rsidRPr="000B1E05" w:rsidRDefault="00BD66BF" w:rsidP="00CB023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0B1E05">
              <w:rPr>
                <w:sz w:val="28"/>
                <w:szCs w:val="28"/>
              </w:rPr>
              <w:t>maksimālā</w:t>
            </w:r>
          </w:p>
        </w:tc>
      </w:tr>
      <w:tr w:rsidR="00763367" w:rsidRPr="000B1E05" w14:paraId="2062B544" w14:textId="77777777" w:rsidTr="00261074">
        <w:trPr>
          <w:jc w:val="center"/>
        </w:trPr>
        <w:tc>
          <w:tcPr>
            <w:tcW w:w="706" w:type="dxa"/>
            <w:vAlign w:val="center"/>
          </w:tcPr>
          <w:p w14:paraId="78DB07E6" w14:textId="222F9ED7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6" w:type="dxa"/>
          </w:tcPr>
          <w:p w14:paraId="05CAFEF1" w14:textId="3DE78EF8" w:rsidR="00763367" w:rsidRPr="000B1E05" w:rsidRDefault="00763367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Pētnieciskais oktānskaitlis, POS</w:t>
            </w:r>
          </w:p>
        </w:tc>
        <w:tc>
          <w:tcPr>
            <w:tcW w:w="1963" w:type="dxa"/>
          </w:tcPr>
          <w:p w14:paraId="57A304BE" w14:textId="77777777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23F9D8C6" w14:textId="77649AE7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95,0</w:t>
            </w:r>
          </w:p>
        </w:tc>
        <w:tc>
          <w:tcPr>
            <w:tcW w:w="1430" w:type="dxa"/>
            <w:vAlign w:val="center"/>
          </w:tcPr>
          <w:p w14:paraId="42FDDF0C" w14:textId="77777777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3367" w:rsidRPr="000B1E05" w14:paraId="71CC9200" w14:textId="77777777" w:rsidTr="00261074">
        <w:trPr>
          <w:jc w:val="center"/>
        </w:trPr>
        <w:tc>
          <w:tcPr>
            <w:tcW w:w="706" w:type="dxa"/>
            <w:vAlign w:val="center"/>
          </w:tcPr>
          <w:p w14:paraId="727AD72A" w14:textId="17ED73AD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6" w:type="dxa"/>
          </w:tcPr>
          <w:p w14:paraId="6D9D6C14" w14:textId="699795D0" w:rsidR="00763367" w:rsidRPr="000B1E05" w:rsidRDefault="00763367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Motora oktānskaitlis, MOS</w:t>
            </w:r>
          </w:p>
        </w:tc>
        <w:tc>
          <w:tcPr>
            <w:tcW w:w="1963" w:type="dxa"/>
          </w:tcPr>
          <w:p w14:paraId="4B4824FD" w14:textId="77777777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29BFE324" w14:textId="775B3D2D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85,0</w:t>
            </w:r>
          </w:p>
        </w:tc>
        <w:tc>
          <w:tcPr>
            <w:tcW w:w="1430" w:type="dxa"/>
            <w:vAlign w:val="center"/>
          </w:tcPr>
          <w:p w14:paraId="41799EC4" w14:textId="77777777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3367" w:rsidRPr="000B1E05" w14:paraId="70D24E90" w14:textId="77777777" w:rsidTr="00261074">
        <w:trPr>
          <w:jc w:val="center"/>
        </w:trPr>
        <w:tc>
          <w:tcPr>
            <w:tcW w:w="706" w:type="dxa"/>
            <w:vAlign w:val="center"/>
          </w:tcPr>
          <w:p w14:paraId="4E9A3563" w14:textId="0B7B77F6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6" w:type="dxa"/>
          </w:tcPr>
          <w:p w14:paraId="0CFEE797" w14:textId="1F023FAE" w:rsidR="00763367" w:rsidRPr="008A4E3A" w:rsidRDefault="00763367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Blīvums (pie 15</w:t>
            </w:r>
            <w:r>
              <w:rPr>
                <w:rFonts w:cs="Times New Roman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C)</w:t>
            </w:r>
          </w:p>
        </w:tc>
        <w:tc>
          <w:tcPr>
            <w:tcW w:w="1963" w:type="dxa"/>
          </w:tcPr>
          <w:p w14:paraId="2A07506B" w14:textId="239E273D" w:rsidR="00763367" w:rsidRPr="008A4E3A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kg/m</w:t>
            </w:r>
            <w:r w:rsidRPr="0076336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4" w:type="dxa"/>
          </w:tcPr>
          <w:p w14:paraId="75A4D410" w14:textId="3AF318C1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</w:t>
            </w:r>
          </w:p>
        </w:tc>
        <w:tc>
          <w:tcPr>
            <w:tcW w:w="1430" w:type="dxa"/>
          </w:tcPr>
          <w:p w14:paraId="4F6856AF" w14:textId="71CD061C" w:rsidR="00763367" w:rsidRPr="008A4E3A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775,0</w:t>
            </w:r>
          </w:p>
        </w:tc>
      </w:tr>
      <w:tr w:rsidR="0078763A" w:rsidRPr="000B1E05" w14:paraId="66BBC7C8" w14:textId="77777777" w:rsidTr="00261074">
        <w:trPr>
          <w:jc w:val="center"/>
        </w:trPr>
        <w:tc>
          <w:tcPr>
            <w:tcW w:w="706" w:type="dxa"/>
            <w:vAlign w:val="center"/>
          </w:tcPr>
          <w:p w14:paraId="2CCE8AB3" w14:textId="1AB5D01E" w:rsidR="0078763A" w:rsidRPr="00550287" w:rsidRDefault="00261074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6" w:type="dxa"/>
            <w:vAlign w:val="center"/>
          </w:tcPr>
          <w:p w14:paraId="0AABB000" w14:textId="77777777" w:rsidR="0078763A" w:rsidRPr="000B1E05" w:rsidRDefault="0078763A" w:rsidP="002235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0B1E05">
              <w:rPr>
                <w:sz w:val="28"/>
                <w:szCs w:val="28"/>
              </w:rPr>
              <w:t>Oksidācijas stabilitāte</w:t>
            </w:r>
          </w:p>
        </w:tc>
        <w:tc>
          <w:tcPr>
            <w:tcW w:w="1963" w:type="dxa"/>
            <w:vAlign w:val="center"/>
          </w:tcPr>
          <w:p w14:paraId="778BA199" w14:textId="77777777" w:rsidR="0078763A" w:rsidRPr="000B1E05" w:rsidRDefault="0078763A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</w:t>
            </w:r>
          </w:p>
        </w:tc>
        <w:tc>
          <w:tcPr>
            <w:tcW w:w="1274" w:type="dxa"/>
            <w:vAlign w:val="center"/>
          </w:tcPr>
          <w:p w14:paraId="42C3743A" w14:textId="77777777" w:rsidR="0078763A" w:rsidRDefault="0078763A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430" w:type="dxa"/>
            <w:vAlign w:val="center"/>
          </w:tcPr>
          <w:p w14:paraId="5F4EA278" w14:textId="77777777" w:rsidR="0078763A" w:rsidRPr="000B1E05" w:rsidRDefault="0078763A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763A" w:rsidRPr="000B1E05" w14:paraId="1030DAA7" w14:textId="77777777" w:rsidTr="00261074">
        <w:trPr>
          <w:jc w:val="center"/>
        </w:trPr>
        <w:tc>
          <w:tcPr>
            <w:tcW w:w="706" w:type="dxa"/>
            <w:vAlign w:val="center"/>
          </w:tcPr>
          <w:p w14:paraId="3B833B26" w14:textId="4BFDC7C5" w:rsidR="0078763A" w:rsidRPr="00550287" w:rsidRDefault="00261074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6" w:type="dxa"/>
            <w:vAlign w:val="center"/>
          </w:tcPr>
          <w:p w14:paraId="3480FB52" w14:textId="03E7A0DD" w:rsidR="0078763A" w:rsidRPr="000B1E05" w:rsidRDefault="0078763A" w:rsidP="002235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 plāksnītes korozija</w:t>
            </w:r>
            <w:r w:rsidRPr="000B1E05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 xml:space="preserve">h </w:t>
            </w:r>
            <w:r w:rsidRPr="000B1E05">
              <w:rPr>
                <w:sz w:val="28"/>
                <w:szCs w:val="28"/>
              </w:rPr>
              <w:t>50° C</w:t>
            </w:r>
            <w:r w:rsidR="00E817E5">
              <w:rPr>
                <w:sz w:val="28"/>
                <w:szCs w:val="28"/>
              </w:rPr>
              <w:t xml:space="preserve"> temperatūrā</w:t>
            </w:r>
            <w:r w:rsidRPr="000B1E05">
              <w:rPr>
                <w:sz w:val="28"/>
                <w:szCs w:val="28"/>
              </w:rPr>
              <w:t>)</w:t>
            </w:r>
          </w:p>
        </w:tc>
        <w:tc>
          <w:tcPr>
            <w:tcW w:w="1963" w:type="dxa"/>
            <w:vAlign w:val="center"/>
          </w:tcPr>
          <w:p w14:paraId="53363C73" w14:textId="0F09B3C2" w:rsidR="0078763A" w:rsidRPr="000B1E05" w:rsidRDefault="00CC1197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78763A">
              <w:rPr>
                <w:sz w:val="28"/>
                <w:szCs w:val="28"/>
              </w:rPr>
              <w:t>lase</w:t>
            </w:r>
          </w:p>
        </w:tc>
        <w:tc>
          <w:tcPr>
            <w:tcW w:w="2704" w:type="dxa"/>
            <w:gridSpan w:val="2"/>
            <w:vAlign w:val="center"/>
          </w:tcPr>
          <w:p w14:paraId="62B9E270" w14:textId="77777777" w:rsidR="0078763A" w:rsidRPr="000B1E05" w:rsidRDefault="0078763A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1.klase</w:t>
            </w:r>
          </w:p>
        </w:tc>
      </w:tr>
      <w:tr w:rsidR="0078763A" w:rsidRPr="000B1E05" w14:paraId="404A721E" w14:textId="77777777" w:rsidTr="00261074">
        <w:trPr>
          <w:jc w:val="center"/>
        </w:trPr>
        <w:tc>
          <w:tcPr>
            <w:tcW w:w="706" w:type="dxa"/>
            <w:vAlign w:val="center"/>
          </w:tcPr>
          <w:p w14:paraId="3D40E4BA" w14:textId="61E5A53C" w:rsidR="0078763A" w:rsidRPr="00550287" w:rsidRDefault="00261074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6" w:type="dxa"/>
            <w:vAlign w:val="center"/>
          </w:tcPr>
          <w:p w14:paraId="7D9385EA" w14:textId="77777777" w:rsidR="0078763A" w:rsidRDefault="0078763A" w:rsidP="002235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Izskats</w:t>
            </w:r>
          </w:p>
        </w:tc>
        <w:tc>
          <w:tcPr>
            <w:tcW w:w="1963" w:type="dxa"/>
            <w:vAlign w:val="center"/>
          </w:tcPr>
          <w:p w14:paraId="1F8553C0" w14:textId="77777777" w:rsidR="0078763A" w:rsidRPr="000B1E05" w:rsidRDefault="0078763A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Align w:val="center"/>
          </w:tcPr>
          <w:p w14:paraId="58EABC66" w14:textId="77777777" w:rsidR="0078763A" w:rsidRPr="000B1E05" w:rsidRDefault="0078763A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Caurspīdīgs un skaidrs</w:t>
            </w:r>
          </w:p>
        </w:tc>
      </w:tr>
      <w:tr w:rsidR="0078763A" w:rsidRPr="000B1E05" w14:paraId="5F3F1540" w14:textId="77777777" w:rsidTr="00261074">
        <w:trPr>
          <w:jc w:val="center"/>
        </w:trPr>
        <w:tc>
          <w:tcPr>
            <w:tcW w:w="706" w:type="dxa"/>
            <w:vAlign w:val="center"/>
          </w:tcPr>
          <w:p w14:paraId="363374E5" w14:textId="4200D260" w:rsidR="0078763A" w:rsidRPr="00550287" w:rsidRDefault="00261074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6" w:type="dxa"/>
            <w:vAlign w:val="center"/>
          </w:tcPr>
          <w:p w14:paraId="6F18541F" w14:textId="77777777" w:rsidR="0078763A" w:rsidRPr="000B1E05" w:rsidRDefault="0078763A" w:rsidP="0022356F">
            <w:pPr>
              <w:pStyle w:val="naisf"/>
              <w:ind w:firstLine="0"/>
              <w:rPr>
                <w:sz w:val="28"/>
                <w:szCs w:val="28"/>
              </w:rPr>
            </w:pPr>
            <w:r w:rsidRPr="0078763A">
              <w:rPr>
                <w:sz w:val="28"/>
                <w:szCs w:val="28"/>
              </w:rPr>
              <w:t>Sveķu saturs (šķīdināts)</w:t>
            </w:r>
            <w:r>
              <w:rPr>
                <w:sz w:val="28"/>
                <w:szCs w:val="28"/>
              </w:rPr>
              <w:t xml:space="preserve"> </w:t>
            </w:r>
            <w:r w:rsidRPr="0078763A">
              <w:rPr>
                <w:sz w:val="28"/>
                <w:szCs w:val="28"/>
              </w:rPr>
              <w:t xml:space="preserve">vai </w:t>
            </w:r>
            <w:proofErr w:type="spellStart"/>
            <w:r w:rsidRPr="0078763A">
              <w:rPr>
                <w:sz w:val="28"/>
                <w:szCs w:val="28"/>
              </w:rPr>
              <w:t>sveķveida</w:t>
            </w:r>
            <w:proofErr w:type="spellEnd"/>
            <w:r w:rsidRPr="0078763A">
              <w:rPr>
                <w:sz w:val="28"/>
                <w:szCs w:val="28"/>
              </w:rPr>
              <w:t xml:space="preserve"> produktu saturs</w:t>
            </w:r>
          </w:p>
        </w:tc>
        <w:tc>
          <w:tcPr>
            <w:tcW w:w="1963" w:type="dxa"/>
            <w:vAlign w:val="center"/>
          </w:tcPr>
          <w:p w14:paraId="13602EC9" w14:textId="77777777" w:rsidR="0078763A" w:rsidRPr="000B1E05" w:rsidRDefault="0078763A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mg/100ml</w:t>
            </w:r>
          </w:p>
        </w:tc>
        <w:tc>
          <w:tcPr>
            <w:tcW w:w="1274" w:type="dxa"/>
            <w:vAlign w:val="center"/>
          </w:tcPr>
          <w:p w14:paraId="6BEFA2DE" w14:textId="77777777" w:rsidR="0078763A" w:rsidRDefault="0078763A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vAlign w:val="center"/>
          </w:tcPr>
          <w:p w14:paraId="63481449" w14:textId="77777777" w:rsidR="0078763A" w:rsidRPr="000B1E05" w:rsidRDefault="0078763A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763367" w:rsidRPr="000B1E05" w14:paraId="30F82BD0" w14:textId="77777777" w:rsidTr="00261074">
        <w:trPr>
          <w:jc w:val="center"/>
        </w:trPr>
        <w:tc>
          <w:tcPr>
            <w:tcW w:w="706" w:type="dxa"/>
            <w:vAlign w:val="center"/>
          </w:tcPr>
          <w:p w14:paraId="46A3E572" w14:textId="34939613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6" w:type="dxa"/>
          </w:tcPr>
          <w:p w14:paraId="18A615B1" w14:textId="18526F59" w:rsidR="00763367" w:rsidRPr="000B1E05" w:rsidRDefault="00763367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Sēra saturs</w:t>
            </w:r>
          </w:p>
        </w:tc>
        <w:tc>
          <w:tcPr>
            <w:tcW w:w="1963" w:type="dxa"/>
          </w:tcPr>
          <w:p w14:paraId="369AE185" w14:textId="2D867948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mg/kg</w:t>
            </w:r>
          </w:p>
        </w:tc>
        <w:tc>
          <w:tcPr>
            <w:tcW w:w="1274" w:type="dxa"/>
          </w:tcPr>
          <w:p w14:paraId="6ECA8A53" w14:textId="61704579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</w:tcPr>
          <w:p w14:paraId="6B297847" w14:textId="1AE791BB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10,0</w:t>
            </w:r>
          </w:p>
        </w:tc>
      </w:tr>
      <w:tr w:rsidR="00763367" w:rsidRPr="000B1E05" w14:paraId="1872A184" w14:textId="77777777" w:rsidTr="00261074">
        <w:trPr>
          <w:jc w:val="center"/>
        </w:trPr>
        <w:tc>
          <w:tcPr>
            <w:tcW w:w="706" w:type="dxa"/>
            <w:vAlign w:val="center"/>
          </w:tcPr>
          <w:p w14:paraId="732F35B0" w14:textId="1CF131A5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66" w:type="dxa"/>
          </w:tcPr>
          <w:p w14:paraId="752BA33C" w14:textId="40CE6CDA" w:rsidR="00763367" w:rsidRPr="000B1E05" w:rsidRDefault="00763367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Svina saturs</w:t>
            </w:r>
          </w:p>
        </w:tc>
        <w:tc>
          <w:tcPr>
            <w:tcW w:w="1963" w:type="dxa"/>
          </w:tcPr>
          <w:p w14:paraId="26223035" w14:textId="01D41E93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8A4E3A">
              <w:rPr>
                <w:sz w:val="28"/>
                <w:szCs w:val="28"/>
              </w:rPr>
              <w:t>g/l</w:t>
            </w:r>
          </w:p>
        </w:tc>
        <w:tc>
          <w:tcPr>
            <w:tcW w:w="1274" w:type="dxa"/>
          </w:tcPr>
          <w:p w14:paraId="08A01B07" w14:textId="2B2622FA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</w:tcPr>
          <w:p w14:paraId="013990BF" w14:textId="5B61291A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</w:tr>
      <w:tr w:rsidR="00763367" w:rsidRPr="000B1E05" w14:paraId="263EE720" w14:textId="77777777" w:rsidTr="00261074">
        <w:trPr>
          <w:jc w:val="center"/>
        </w:trPr>
        <w:tc>
          <w:tcPr>
            <w:tcW w:w="706" w:type="dxa"/>
            <w:vAlign w:val="center"/>
          </w:tcPr>
          <w:p w14:paraId="5D5D9E67" w14:textId="5F3F0EBD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6" w:type="dxa"/>
          </w:tcPr>
          <w:p w14:paraId="6B92C92E" w14:textId="4A653517" w:rsidR="00763367" w:rsidRPr="000B1E05" w:rsidRDefault="00763367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A4E3A">
              <w:rPr>
                <w:sz w:val="28"/>
                <w:szCs w:val="28"/>
              </w:rPr>
              <w:t>Metilciklopentadiēnilmangāna</w:t>
            </w:r>
            <w:proofErr w:type="spellEnd"/>
            <w:r w:rsidRPr="008A4E3A">
              <w:rPr>
                <w:sz w:val="28"/>
                <w:szCs w:val="28"/>
              </w:rPr>
              <w:t xml:space="preserve"> </w:t>
            </w:r>
            <w:proofErr w:type="spellStart"/>
            <w:r w:rsidRPr="008A4E3A">
              <w:rPr>
                <w:sz w:val="28"/>
                <w:szCs w:val="28"/>
              </w:rPr>
              <w:t>trikarbonila</w:t>
            </w:r>
            <w:proofErr w:type="spellEnd"/>
            <w:r w:rsidRPr="008A4E3A">
              <w:rPr>
                <w:sz w:val="28"/>
                <w:szCs w:val="28"/>
              </w:rPr>
              <w:t xml:space="preserve"> (MMT) saturs</w:t>
            </w:r>
          </w:p>
        </w:tc>
        <w:tc>
          <w:tcPr>
            <w:tcW w:w="1963" w:type="dxa"/>
          </w:tcPr>
          <w:p w14:paraId="793CDBE6" w14:textId="27B28328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mg/l</w:t>
            </w:r>
          </w:p>
        </w:tc>
        <w:tc>
          <w:tcPr>
            <w:tcW w:w="1274" w:type="dxa"/>
          </w:tcPr>
          <w:p w14:paraId="2ECCFFDD" w14:textId="77777777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09809E20" w14:textId="065E5A2B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2,0</w:t>
            </w:r>
          </w:p>
        </w:tc>
      </w:tr>
      <w:tr w:rsidR="0078763A" w:rsidRPr="000B1E05" w14:paraId="3BA69257" w14:textId="77777777" w:rsidTr="00261074">
        <w:trPr>
          <w:jc w:val="center"/>
        </w:trPr>
        <w:tc>
          <w:tcPr>
            <w:tcW w:w="706" w:type="dxa"/>
            <w:vAlign w:val="center"/>
          </w:tcPr>
          <w:p w14:paraId="615FB21A" w14:textId="76B992BE" w:rsidR="0078763A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33" w:type="dxa"/>
            <w:gridSpan w:val="4"/>
            <w:vAlign w:val="center"/>
          </w:tcPr>
          <w:p w14:paraId="42832170" w14:textId="5C8DBF79" w:rsidR="0078763A" w:rsidRPr="000B1E05" w:rsidRDefault="0078763A" w:rsidP="0078763A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78763A">
              <w:rPr>
                <w:sz w:val="28"/>
                <w:szCs w:val="28"/>
              </w:rPr>
              <w:t>Ogļūdeņražu sastāvs</w:t>
            </w:r>
          </w:p>
        </w:tc>
      </w:tr>
      <w:tr w:rsidR="00763367" w:rsidRPr="000B1E05" w14:paraId="4276EC7A" w14:textId="77777777" w:rsidTr="00261074">
        <w:trPr>
          <w:jc w:val="center"/>
        </w:trPr>
        <w:tc>
          <w:tcPr>
            <w:tcW w:w="706" w:type="dxa"/>
            <w:vAlign w:val="center"/>
          </w:tcPr>
          <w:p w14:paraId="5E9ABB10" w14:textId="47271EFD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4266" w:type="dxa"/>
            <w:vAlign w:val="center"/>
          </w:tcPr>
          <w:p w14:paraId="71073F35" w14:textId="04DEB88C" w:rsidR="00763367" w:rsidRPr="000B1E05" w:rsidRDefault="0078763A" w:rsidP="0078763A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proofErr w:type="spellStart"/>
            <w:r w:rsidRPr="008A4E3A">
              <w:rPr>
                <w:sz w:val="28"/>
                <w:szCs w:val="28"/>
              </w:rPr>
              <w:t>olefīni</w:t>
            </w:r>
            <w:proofErr w:type="spellEnd"/>
          </w:p>
        </w:tc>
        <w:tc>
          <w:tcPr>
            <w:tcW w:w="1963" w:type="dxa"/>
            <w:vAlign w:val="center"/>
          </w:tcPr>
          <w:p w14:paraId="3E10D1C2" w14:textId="5A5CD62A" w:rsidR="00763367" w:rsidRPr="000B1E05" w:rsidRDefault="0078763A" w:rsidP="0078763A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8A4E3A">
              <w:rPr>
                <w:bCs/>
                <w:sz w:val="28"/>
                <w:szCs w:val="28"/>
              </w:rPr>
              <w:t>ilpumprocenti</w:t>
            </w:r>
          </w:p>
        </w:tc>
        <w:tc>
          <w:tcPr>
            <w:tcW w:w="1274" w:type="dxa"/>
            <w:vAlign w:val="center"/>
          </w:tcPr>
          <w:p w14:paraId="264BE2E9" w14:textId="77777777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84CB98B" w14:textId="2A632BA2" w:rsidR="00763367" w:rsidRPr="000B1E05" w:rsidRDefault="0078763A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763367" w:rsidRPr="000B1E05" w14:paraId="11CBB1A5" w14:textId="77777777" w:rsidTr="00261074">
        <w:trPr>
          <w:jc w:val="center"/>
        </w:trPr>
        <w:tc>
          <w:tcPr>
            <w:tcW w:w="706" w:type="dxa"/>
            <w:vAlign w:val="center"/>
          </w:tcPr>
          <w:p w14:paraId="0DB98E5D" w14:textId="2917FD84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4266" w:type="dxa"/>
            <w:vAlign w:val="center"/>
          </w:tcPr>
          <w:p w14:paraId="22972FF9" w14:textId="7CDDC17E" w:rsidR="00763367" w:rsidRPr="000B1E05" w:rsidRDefault="0078763A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aromātiskie ogļūdeņraži</w:t>
            </w:r>
          </w:p>
        </w:tc>
        <w:tc>
          <w:tcPr>
            <w:tcW w:w="1963" w:type="dxa"/>
            <w:vAlign w:val="center"/>
          </w:tcPr>
          <w:p w14:paraId="1D18210D" w14:textId="7050BD26" w:rsidR="00763367" w:rsidRPr="000B1E05" w:rsidRDefault="0078763A" w:rsidP="0078763A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8A4E3A">
              <w:rPr>
                <w:bCs/>
                <w:sz w:val="28"/>
                <w:szCs w:val="28"/>
              </w:rPr>
              <w:t>ilpumprocenti</w:t>
            </w:r>
          </w:p>
        </w:tc>
        <w:tc>
          <w:tcPr>
            <w:tcW w:w="1274" w:type="dxa"/>
            <w:vAlign w:val="center"/>
          </w:tcPr>
          <w:p w14:paraId="41B8AF0A" w14:textId="77777777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51FD8C4" w14:textId="7EC27AB8" w:rsidR="00763367" w:rsidRPr="000B1E05" w:rsidRDefault="0078763A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763367" w:rsidRPr="000B1E05" w14:paraId="6EFBFB70" w14:textId="77777777" w:rsidTr="00261074">
        <w:trPr>
          <w:jc w:val="center"/>
        </w:trPr>
        <w:tc>
          <w:tcPr>
            <w:tcW w:w="706" w:type="dxa"/>
            <w:vAlign w:val="center"/>
          </w:tcPr>
          <w:p w14:paraId="7FED43B4" w14:textId="06996CD1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  <w:tc>
          <w:tcPr>
            <w:tcW w:w="4266" w:type="dxa"/>
            <w:vAlign w:val="center"/>
          </w:tcPr>
          <w:p w14:paraId="4C4B3F6F" w14:textId="64FFB7A2" w:rsidR="00763367" w:rsidRPr="000B1E05" w:rsidRDefault="0078763A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benzols</w:t>
            </w:r>
          </w:p>
        </w:tc>
        <w:tc>
          <w:tcPr>
            <w:tcW w:w="1963" w:type="dxa"/>
            <w:vAlign w:val="center"/>
          </w:tcPr>
          <w:p w14:paraId="7DCD66A7" w14:textId="7750EA7C" w:rsidR="00763367" w:rsidRPr="000B1E05" w:rsidRDefault="0078763A" w:rsidP="0078763A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bCs/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4BE812FF" w14:textId="77777777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212DA412" w14:textId="53A8D270" w:rsidR="00763367" w:rsidRPr="000B1E05" w:rsidRDefault="0078763A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61074" w:rsidRPr="000B1E05" w14:paraId="1407E685" w14:textId="77777777" w:rsidTr="00261074">
        <w:trPr>
          <w:jc w:val="center"/>
        </w:trPr>
        <w:tc>
          <w:tcPr>
            <w:tcW w:w="706" w:type="dxa"/>
            <w:vAlign w:val="center"/>
          </w:tcPr>
          <w:p w14:paraId="74B1810D" w14:textId="08469266" w:rsidR="00261074" w:rsidRPr="00550287" w:rsidRDefault="00261074" w:rsidP="000F29FC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6" w:type="dxa"/>
          </w:tcPr>
          <w:p w14:paraId="58B0C4FC" w14:textId="77777777" w:rsidR="00261074" w:rsidRPr="00213C98" w:rsidRDefault="00261074" w:rsidP="000F29FC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Skābekļa saturs</w:t>
            </w:r>
            <w:r w:rsidRPr="000C676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63" w:type="dxa"/>
          </w:tcPr>
          <w:p w14:paraId="1081DBBB" w14:textId="77777777" w:rsidR="00261074" w:rsidRPr="00213C98" w:rsidRDefault="00261074" w:rsidP="000F29FC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 xml:space="preserve"> </w:t>
            </w:r>
            <w:r w:rsidRPr="008A4E3A">
              <w:rPr>
                <w:bCs/>
                <w:sz w:val="28"/>
                <w:szCs w:val="28"/>
              </w:rPr>
              <w:t>masas procenti</w:t>
            </w:r>
          </w:p>
        </w:tc>
        <w:tc>
          <w:tcPr>
            <w:tcW w:w="1274" w:type="dxa"/>
          </w:tcPr>
          <w:p w14:paraId="60D742CA" w14:textId="77777777" w:rsidR="00261074" w:rsidRDefault="00261074" w:rsidP="000F29FC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3D2A1F84" w14:textId="77777777" w:rsidR="00261074" w:rsidRPr="00213C98" w:rsidRDefault="00261074" w:rsidP="000F29FC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3,7</w:t>
            </w:r>
          </w:p>
        </w:tc>
      </w:tr>
      <w:tr w:rsidR="0078763A" w:rsidRPr="000B1E05" w14:paraId="21DBEEAE" w14:textId="77777777" w:rsidTr="00261074">
        <w:trPr>
          <w:jc w:val="center"/>
        </w:trPr>
        <w:tc>
          <w:tcPr>
            <w:tcW w:w="706" w:type="dxa"/>
            <w:vAlign w:val="center"/>
          </w:tcPr>
          <w:p w14:paraId="5A3CB1CC" w14:textId="5AD71C0C" w:rsidR="0078763A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33" w:type="dxa"/>
            <w:gridSpan w:val="4"/>
            <w:vAlign w:val="center"/>
          </w:tcPr>
          <w:p w14:paraId="31F1BC92" w14:textId="6122DEEA" w:rsidR="0078763A" w:rsidRPr="000B1E05" w:rsidRDefault="0078763A" w:rsidP="0078763A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Skābekli saturošie savienojumi</w:t>
            </w:r>
          </w:p>
        </w:tc>
      </w:tr>
      <w:tr w:rsidR="000C6766" w:rsidRPr="000B1E05" w14:paraId="7ED6BF00" w14:textId="77777777" w:rsidTr="00261074">
        <w:trPr>
          <w:jc w:val="center"/>
        </w:trPr>
        <w:tc>
          <w:tcPr>
            <w:tcW w:w="706" w:type="dxa"/>
            <w:vAlign w:val="center"/>
          </w:tcPr>
          <w:p w14:paraId="7AD0CCF0" w14:textId="496B047F" w:rsidR="000C6766" w:rsidRPr="00550287" w:rsidRDefault="00261074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4266" w:type="dxa"/>
            <w:vAlign w:val="center"/>
          </w:tcPr>
          <w:p w14:paraId="37530441" w14:textId="68A7F6E8" w:rsidR="000C6766" w:rsidRPr="000B1E05" w:rsidRDefault="000C6766" w:rsidP="000C6766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metanols</w:t>
            </w:r>
          </w:p>
        </w:tc>
        <w:tc>
          <w:tcPr>
            <w:tcW w:w="1963" w:type="dxa"/>
            <w:vAlign w:val="center"/>
          </w:tcPr>
          <w:p w14:paraId="06D70F34" w14:textId="00C9E75F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8A4E3A">
              <w:rPr>
                <w:bCs/>
                <w:sz w:val="28"/>
                <w:szCs w:val="28"/>
              </w:rPr>
              <w:t>ilpumprocenti</w:t>
            </w:r>
          </w:p>
        </w:tc>
        <w:tc>
          <w:tcPr>
            <w:tcW w:w="1274" w:type="dxa"/>
            <w:vAlign w:val="center"/>
          </w:tcPr>
          <w:p w14:paraId="036EEC5A" w14:textId="77777777" w:rsidR="000C6766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516DDD7C" w14:textId="12DA2681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0C6766" w:rsidRPr="000B1E05" w14:paraId="377168A1" w14:textId="77777777" w:rsidTr="00261074">
        <w:trPr>
          <w:jc w:val="center"/>
        </w:trPr>
        <w:tc>
          <w:tcPr>
            <w:tcW w:w="706" w:type="dxa"/>
            <w:vAlign w:val="center"/>
          </w:tcPr>
          <w:p w14:paraId="3D0472F8" w14:textId="63731C48" w:rsidR="000C6766" w:rsidRPr="00550287" w:rsidRDefault="00261074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4266" w:type="dxa"/>
            <w:vAlign w:val="center"/>
          </w:tcPr>
          <w:p w14:paraId="6EBB6A42" w14:textId="714C935F" w:rsidR="000C6766" w:rsidRPr="000B1E05" w:rsidRDefault="000C6766" w:rsidP="000C6766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proofErr w:type="spellStart"/>
            <w:r w:rsidRPr="008A4E3A">
              <w:rPr>
                <w:sz w:val="28"/>
                <w:szCs w:val="28"/>
              </w:rPr>
              <w:t>etanols</w:t>
            </w:r>
            <w:proofErr w:type="spellEnd"/>
            <w:r w:rsidRPr="008A4E3A">
              <w:rPr>
                <w:sz w:val="28"/>
                <w:szCs w:val="28"/>
              </w:rPr>
              <w:t xml:space="preserve"> (var būt jāpievieno stabilizatori)</w:t>
            </w:r>
          </w:p>
        </w:tc>
        <w:tc>
          <w:tcPr>
            <w:tcW w:w="1963" w:type="dxa"/>
            <w:vAlign w:val="center"/>
          </w:tcPr>
          <w:p w14:paraId="26E861D6" w14:textId="5CBDD631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8A4E3A">
              <w:rPr>
                <w:bCs/>
                <w:sz w:val="28"/>
                <w:szCs w:val="28"/>
              </w:rPr>
              <w:t>ilpumprocenti</w:t>
            </w:r>
          </w:p>
        </w:tc>
        <w:tc>
          <w:tcPr>
            <w:tcW w:w="1274" w:type="dxa"/>
            <w:vAlign w:val="center"/>
          </w:tcPr>
          <w:p w14:paraId="3BFE0BF6" w14:textId="77777777" w:rsidR="000C6766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C1D9F35" w14:textId="78A2DBD9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C6766" w:rsidRPr="000B1E05" w14:paraId="2B3674C5" w14:textId="77777777" w:rsidTr="00261074">
        <w:trPr>
          <w:jc w:val="center"/>
        </w:trPr>
        <w:tc>
          <w:tcPr>
            <w:tcW w:w="706" w:type="dxa"/>
            <w:vAlign w:val="center"/>
          </w:tcPr>
          <w:p w14:paraId="127C4C68" w14:textId="14261C11" w:rsidR="000C6766" w:rsidRPr="00550287" w:rsidRDefault="00261074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  <w:tc>
          <w:tcPr>
            <w:tcW w:w="4266" w:type="dxa"/>
            <w:vAlign w:val="center"/>
          </w:tcPr>
          <w:p w14:paraId="458BDB24" w14:textId="106FFE8C" w:rsidR="000C6766" w:rsidRPr="000B1E05" w:rsidRDefault="000C6766" w:rsidP="000C6766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 w:rsidRPr="008A4E3A">
              <w:rPr>
                <w:sz w:val="28"/>
                <w:szCs w:val="28"/>
              </w:rPr>
              <w:t>zopropilspirts</w:t>
            </w:r>
            <w:proofErr w:type="spellEnd"/>
          </w:p>
        </w:tc>
        <w:tc>
          <w:tcPr>
            <w:tcW w:w="1963" w:type="dxa"/>
            <w:vAlign w:val="center"/>
          </w:tcPr>
          <w:p w14:paraId="2162D81C" w14:textId="79CEF5DB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8A4E3A">
              <w:rPr>
                <w:bCs/>
                <w:sz w:val="28"/>
                <w:szCs w:val="28"/>
              </w:rPr>
              <w:t>ilpumprocenti</w:t>
            </w:r>
          </w:p>
        </w:tc>
        <w:tc>
          <w:tcPr>
            <w:tcW w:w="1274" w:type="dxa"/>
            <w:vAlign w:val="center"/>
          </w:tcPr>
          <w:p w14:paraId="68097074" w14:textId="77777777" w:rsidR="000C6766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D2BFA84" w14:textId="05996E29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0C6766" w:rsidRPr="000B1E05" w14:paraId="658B0E62" w14:textId="77777777" w:rsidTr="00261074">
        <w:trPr>
          <w:jc w:val="center"/>
        </w:trPr>
        <w:tc>
          <w:tcPr>
            <w:tcW w:w="706" w:type="dxa"/>
            <w:vAlign w:val="center"/>
          </w:tcPr>
          <w:p w14:paraId="5E0B3AE9" w14:textId="7954482A" w:rsidR="000C6766" w:rsidRPr="00550287" w:rsidRDefault="00261074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</w:p>
        </w:tc>
        <w:tc>
          <w:tcPr>
            <w:tcW w:w="4266" w:type="dxa"/>
            <w:vAlign w:val="center"/>
          </w:tcPr>
          <w:p w14:paraId="6FDFEB50" w14:textId="14118614" w:rsidR="000C6766" w:rsidRPr="000B1E05" w:rsidRDefault="000C6766" w:rsidP="000C6766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proofErr w:type="spellStart"/>
            <w:r w:rsidRPr="008A4E3A">
              <w:rPr>
                <w:sz w:val="28"/>
                <w:szCs w:val="28"/>
              </w:rPr>
              <w:t>terc-butilspirts</w:t>
            </w:r>
            <w:proofErr w:type="spellEnd"/>
          </w:p>
        </w:tc>
        <w:tc>
          <w:tcPr>
            <w:tcW w:w="1963" w:type="dxa"/>
            <w:vAlign w:val="center"/>
          </w:tcPr>
          <w:p w14:paraId="7C5340C3" w14:textId="13BAD8FC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8A4E3A">
              <w:rPr>
                <w:bCs/>
                <w:sz w:val="28"/>
                <w:szCs w:val="28"/>
              </w:rPr>
              <w:t>ilpumprocenti</w:t>
            </w:r>
          </w:p>
        </w:tc>
        <w:tc>
          <w:tcPr>
            <w:tcW w:w="1274" w:type="dxa"/>
            <w:vAlign w:val="center"/>
          </w:tcPr>
          <w:p w14:paraId="20E87DD7" w14:textId="77777777" w:rsidR="000C6766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2306478" w14:textId="42296219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0C6766" w:rsidRPr="000B1E05" w14:paraId="41E21B73" w14:textId="77777777" w:rsidTr="00261074">
        <w:trPr>
          <w:jc w:val="center"/>
        </w:trPr>
        <w:tc>
          <w:tcPr>
            <w:tcW w:w="706" w:type="dxa"/>
            <w:vAlign w:val="center"/>
          </w:tcPr>
          <w:p w14:paraId="3F340F11" w14:textId="095F447D" w:rsidR="000C6766" w:rsidRPr="00550287" w:rsidRDefault="00261074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  <w:tc>
          <w:tcPr>
            <w:tcW w:w="4266" w:type="dxa"/>
            <w:vAlign w:val="center"/>
          </w:tcPr>
          <w:p w14:paraId="4B32E108" w14:textId="1113DC98" w:rsidR="000C6766" w:rsidRPr="000B1E05" w:rsidRDefault="000C6766" w:rsidP="000C6766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 w:rsidRPr="008A4E3A">
              <w:rPr>
                <w:sz w:val="28"/>
                <w:szCs w:val="28"/>
              </w:rPr>
              <w:t>zobutilspirts</w:t>
            </w:r>
            <w:proofErr w:type="spellEnd"/>
          </w:p>
        </w:tc>
        <w:tc>
          <w:tcPr>
            <w:tcW w:w="1963" w:type="dxa"/>
            <w:vAlign w:val="center"/>
          </w:tcPr>
          <w:p w14:paraId="79EFD249" w14:textId="0222E9EE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8A4E3A">
              <w:rPr>
                <w:bCs/>
                <w:sz w:val="28"/>
                <w:szCs w:val="28"/>
              </w:rPr>
              <w:t>ilpumprocenti</w:t>
            </w:r>
          </w:p>
        </w:tc>
        <w:tc>
          <w:tcPr>
            <w:tcW w:w="1274" w:type="dxa"/>
            <w:vAlign w:val="center"/>
          </w:tcPr>
          <w:p w14:paraId="00632752" w14:textId="77777777" w:rsidR="000C6766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6E81E5F" w14:textId="6D8F0DB5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0C6766" w:rsidRPr="000B1E05" w14:paraId="74A3027D" w14:textId="77777777" w:rsidTr="00261074">
        <w:trPr>
          <w:jc w:val="center"/>
        </w:trPr>
        <w:tc>
          <w:tcPr>
            <w:tcW w:w="706" w:type="dxa"/>
            <w:vAlign w:val="center"/>
          </w:tcPr>
          <w:p w14:paraId="2D89993A" w14:textId="5D716CF6" w:rsidR="000C6766" w:rsidRPr="00550287" w:rsidRDefault="00261074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</w:t>
            </w:r>
          </w:p>
        </w:tc>
        <w:tc>
          <w:tcPr>
            <w:tcW w:w="4266" w:type="dxa"/>
            <w:vAlign w:val="center"/>
          </w:tcPr>
          <w:p w14:paraId="12C81F03" w14:textId="31C386B6" w:rsidR="000C6766" w:rsidRPr="000B1E05" w:rsidRDefault="000C6766" w:rsidP="000C6766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ēteri, kuru molekulā ir 5 vai vairāk oglekļa atomu</w:t>
            </w:r>
          </w:p>
        </w:tc>
        <w:tc>
          <w:tcPr>
            <w:tcW w:w="1963" w:type="dxa"/>
            <w:vAlign w:val="center"/>
          </w:tcPr>
          <w:p w14:paraId="225A80DF" w14:textId="107513A6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8A4E3A">
              <w:rPr>
                <w:bCs/>
                <w:sz w:val="28"/>
                <w:szCs w:val="28"/>
              </w:rPr>
              <w:t>ilpumprocenti</w:t>
            </w:r>
          </w:p>
        </w:tc>
        <w:tc>
          <w:tcPr>
            <w:tcW w:w="1274" w:type="dxa"/>
            <w:vAlign w:val="center"/>
          </w:tcPr>
          <w:p w14:paraId="050EA922" w14:textId="77777777" w:rsidR="000C6766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E7B20B8" w14:textId="4DA7BFA8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0C6766" w:rsidRPr="000B1E05" w14:paraId="06D0925A" w14:textId="77777777" w:rsidTr="00261074">
        <w:trPr>
          <w:jc w:val="center"/>
        </w:trPr>
        <w:tc>
          <w:tcPr>
            <w:tcW w:w="706" w:type="dxa"/>
            <w:vAlign w:val="center"/>
          </w:tcPr>
          <w:p w14:paraId="4E34A403" w14:textId="0D5A99F6" w:rsidR="000C6766" w:rsidRPr="00550287" w:rsidRDefault="00261074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</w:t>
            </w:r>
          </w:p>
        </w:tc>
        <w:tc>
          <w:tcPr>
            <w:tcW w:w="4266" w:type="dxa"/>
            <w:vAlign w:val="center"/>
          </w:tcPr>
          <w:p w14:paraId="5484DE28" w14:textId="4F6A2559" w:rsidR="000C6766" w:rsidRPr="000B1E05" w:rsidRDefault="000C6766" w:rsidP="000C6766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citi skābekli saturoši savienojumi</w:t>
            </w:r>
            <w:r w:rsidRPr="000C6766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963" w:type="dxa"/>
            <w:vAlign w:val="center"/>
          </w:tcPr>
          <w:p w14:paraId="084B80EC" w14:textId="767F8605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Pr="008A4E3A">
              <w:rPr>
                <w:bCs/>
                <w:sz w:val="28"/>
                <w:szCs w:val="28"/>
              </w:rPr>
              <w:t>ilpumprocenti</w:t>
            </w:r>
          </w:p>
        </w:tc>
        <w:tc>
          <w:tcPr>
            <w:tcW w:w="1274" w:type="dxa"/>
            <w:vAlign w:val="center"/>
          </w:tcPr>
          <w:p w14:paraId="539D8FC9" w14:textId="77777777" w:rsidR="000C6766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5EA1F8BF" w14:textId="5E0FA32A" w:rsidR="000C6766" w:rsidRPr="000B1E05" w:rsidRDefault="000C6766" w:rsidP="000C6766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0C6766" w:rsidRPr="00062530" w14:paraId="18F5947C" w14:textId="77777777" w:rsidTr="0022356F">
        <w:trPr>
          <w:jc w:val="center"/>
        </w:trPr>
        <w:tc>
          <w:tcPr>
            <w:tcW w:w="9639" w:type="dxa"/>
            <w:gridSpan w:val="5"/>
            <w:vAlign w:val="center"/>
          </w:tcPr>
          <w:p w14:paraId="57209B60" w14:textId="65D595E5" w:rsidR="000C6766" w:rsidRPr="00062530" w:rsidRDefault="000C6766" w:rsidP="0022356F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062530">
              <w:rPr>
                <w:sz w:val="28"/>
                <w:szCs w:val="28"/>
              </w:rPr>
              <w:t>No klimata atkarīgās kvalitātes prasības</w:t>
            </w:r>
          </w:p>
        </w:tc>
      </w:tr>
      <w:tr w:rsidR="000C6766" w:rsidRPr="000B1E05" w14:paraId="69331215" w14:textId="77777777" w:rsidTr="00261074">
        <w:trPr>
          <w:jc w:val="center"/>
        </w:trPr>
        <w:tc>
          <w:tcPr>
            <w:tcW w:w="706" w:type="dxa"/>
            <w:vAlign w:val="center"/>
          </w:tcPr>
          <w:p w14:paraId="679B2D64" w14:textId="65156ECE" w:rsidR="000C6766" w:rsidRPr="00550287" w:rsidRDefault="00261074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66" w:type="dxa"/>
          </w:tcPr>
          <w:p w14:paraId="47293829" w14:textId="472C40D8" w:rsidR="000C6766" w:rsidRPr="000B1E05" w:rsidRDefault="000C6766" w:rsidP="002235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13C98">
              <w:rPr>
                <w:sz w:val="28"/>
                <w:szCs w:val="28"/>
              </w:rPr>
              <w:t>Tvaika spiediens vasaras periodā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63" w:type="dxa"/>
          </w:tcPr>
          <w:p w14:paraId="135C46C7" w14:textId="77777777" w:rsidR="000C6766" w:rsidRPr="000B1E05" w:rsidRDefault="000C6766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13C98">
              <w:rPr>
                <w:sz w:val="28"/>
                <w:szCs w:val="28"/>
              </w:rPr>
              <w:t>kPa</w:t>
            </w:r>
            <w:proofErr w:type="spellEnd"/>
          </w:p>
        </w:tc>
        <w:tc>
          <w:tcPr>
            <w:tcW w:w="1274" w:type="dxa"/>
          </w:tcPr>
          <w:p w14:paraId="5613F784" w14:textId="77777777" w:rsidR="000C6766" w:rsidRDefault="000C6766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570B57C5" w14:textId="77777777" w:rsidR="000C6766" w:rsidRPr="000B1E05" w:rsidRDefault="000C6766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213C98">
              <w:rPr>
                <w:sz w:val="28"/>
                <w:szCs w:val="28"/>
              </w:rPr>
              <w:t>70,0</w:t>
            </w:r>
          </w:p>
        </w:tc>
      </w:tr>
      <w:tr w:rsidR="00763367" w:rsidRPr="000B1E05" w14:paraId="46085ECD" w14:textId="77777777" w:rsidTr="00261074">
        <w:trPr>
          <w:jc w:val="center"/>
        </w:trPr>
        <w:tc>
          <w:tcPr>
            <w:tcW w:w="706" w:type="dxa"/>
            <w:vAlign w:val="center"/>
          </w:tcPr>
          <w:p w14:paraId="342A663B" w14:textId="39FD2D89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933" w:type="dxa"/>
            <w:gridSpan w:val="4"/>
          </w:tcPr>
          <w:p w14:paraId="370B42A4" w14:textId="74CC9228" w:rsidR="00763367" w:rsidRPr="000B1E05" w:rsidRDefault="00763367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Destilācija</w:t>
            </w:r>
          </w:p>
        </w:tc>
      </w:tr>
      <w:tr w:rsidR="00763367" w:rsidRPr="000B1E05" w14:paraId="2AB5F06C" w14:textId="77777777" w:rsidTr="00261074">
        <w:trPr>
          <w:jc w:val="center"/>
        </w:trPr>
        <w:tc>
          <w:tcPr>
            <w:tcW w:w="706" w:type="dxa"/>
            <w:vAlign w:val="center"/>
          </w:tcPr>
          <w:p w14:paraId="6F6925DE" w14:textId="0585D08D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</w:p>
        </w:tc>
        <w:tc>
          <w:tcPr>
            <w:tcW w:w="4266" w:type="dxa"/>
          </w:tcPr>
          <w:p w14:paraId="2FDE9F73" w14:textId="78CA4C04" w:rsidR="00763367" w:rsidRPr="008A4E3A" w:rsidRDefault="00763367" w:rsidP="00763367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 xml:space="preserve">pārtvaicētās degvielas daudzums </w:t>
            </w:r>
            <w:r>
              <w:rPr>
                <w:sz w:val="28"/>
                <w:szCs w:val="28"/>
              </w:rPr>
              <w:t>7</w:t>
            </w:r>
            <w:r w:rsidRPr="008A4E3A">
              <w:rPr>
                <w:sz w:val="28"/>
                <w:szCs w:val="28"/>
              </w:rPr>
              <w:t>0°C temperatūrā</w:t>
            </w:r>
          </w:p>
        </w:tc>
        <w:tc>
          <w:tcPr>
            <w:tcW w:w="1963" w:type="dxa"/>
          </w:tcPr>
          <w:p w14:paraId="0A97C48A" w14:textId="2B9FE63F" w:rsidR="00763367" w:rsidRP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8A4E3A">
              <w:rPr>
                <w:bCs/>
                <w:sz w:val="28"/>
                <w:szCs w:val="28"/>
              </w:rPr>
              <w:t>tilpumprocenti</w:t>
            </w:r>
          </w:p>
        </w:tc>
        <w:tc>
          <w:tcPr>
            <w:tcW w:w="1274" w:type="dxa"/>
          </w:tcPr>
          <w:p w14:paraId="7B5B99BA" w14:textId="0857B423" w:rsidR="00763367" w:rsidRPr="008A4E3A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430" w:type="dxa"/>
          </w:tcPr>
          <w:p w14:paraId="04256C3C" w14:textId="6C49D3B7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763367" w:rsidRPr="000B1E05" w14:paraId="55B5C94C" w14:textId="77777777" w:rsidTr="00261074">
        <w:trPr>
          <w:jc w:val="center"/>
        </w:trPr>
        <w:tc>
          <w:tcPr>
            <w:tcW w:w="706" w:type="dxa"/>
            <w:vAlign w:val="center"/>
          </w:tcPr>
          <w:p w14:paraId="30852A2E" w14:textId="61C2A49F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15.2</w:t>
            </w:r>
          </w:p>
        </w:tc>
        <w:tc>
          <w:tcPr>
            <w:tcW w:w="4266" w:type="dxa"/>
            <w:vAlign w:val="center"/>
          </w:tcPr>
          <w:p w14:paraId="7FAFEE30" w14:textId="699A5717" w:rsidR="00763367" w:rsidRPr="000B1E05" w:rsidRDefault="00763367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pārtvaicētās degvielas daudzums 100°C temperatūrā</w:t>
            </w:r>
          </w:p>
        </w:tc>
        <w:tc>
          <w:tcPr>
            <w:tcW w:w="1963" w:type="dxa"/>
            <w:vAlign w:val="center"/>
          </w:tcPr>
          <w:p w14:paraId="1B51B295" w14:textId="66555753" w:rsidR="00763367" w:rsidRP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8A4E3A">
              <w:rPr>
                <w:bCs/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283CBD72" w14:textId="67259A91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1430" w:type="dxa"/>
            <w:vAlign w:val="center"/>
          </w:tcPr>
          <w:p w14:paraId="3D3C848C" w14:textId="6EC3F901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763367" w:rsidRPr="000B1E05" w14:paraId="47DE891E" w14:textId="77777777" w:rsidTr="00261074">
        <w:trPr>
          <w:jc w:val="center"/>
        </w:trPr>
        <w:tc>
          <w:tcPr>
            <w:tcW w:w="706" w:type="dxa"/>
            <w:vAlign w:val="center"/>
          </w:tcPr>
          <w:p w14:paraId="7F4CF2D4" w14:textId="6AD2789F" w:rsidR="00763367" w:rsidRPr="00550287" w:rsidRDefault="00261074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</w:p>
        </w:tc>
        <w:tc>
          <w:tcPr>
            <w:tcW w:w="4266" w:type="dxa"/>
            <w:vAlign w:val="center"/>
          </w:tcPr>
          <w:p w14:paraId="460CB25D" w14:textId="67442C6A" w:rsidR="00763367" w:rsidRPr="000B1E05" w:rsidRDefault="00763367" w:rsidP="00763367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pārtvaicētās degvielas daudzums 150°C temperatūrā</w:t>
            </w:r>
          </w:p>
        </w:tc>
        <w:tc>
          <w:tcPr>
            <w:tcW w:w="1963" w:type="dxa"/>
            <w:vAlign w:val="center"/>
          </w:tcPr>
          <w:p w14:paraId="702383A8" w14:textId="285BD70A" w:rsidR="00763367" w:rsidRP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8A4E3A">
              <w:rPr>
                <w:bCs/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1D7EB720" w14:textId="2CD8E0EE" w:rsidR="00763367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430" w:type="dxa"/>
            <w:vAlign w:val="center"/>
          </w:tcPr>
          <w:p w14:paraId="2143FA1A" w14:textId="1739C2E2" w:rsidR="00763367" w:rsidRPr="000B1E05" w:rsidRDefault="00763367" w:rsidP="00763367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6766" w:rsidRPr="000B1E05" w14:paraId="58AF8AEC" w14:textId="77777777" w:rsidTr="00261074">
        <w:trPr>
          <w:jc w:val="center"/>
        </w:trPr>
        <w:tc>
          <w:tcPr>
            <w:tcW w:w="706" w:type="dxa"/>
            <w:vAlign w:val="center"/>
          </w:tcPr>
          <w:p w14:paraId="5DC9C921" w14:textId="5A484E23" w:rsidR="000C6766" w:rsidRPr="00550287" w:rsidRDefault="00261074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</w:p>
        </w:tc>
        <w:tc>
          <w:tcPr>
            <w:tcW w:w="4266" w:type="dxa"/>
            <w:vAlign w:val="center"/>
          </w:tcPr>
          <w:p w14:paraId="2135EB0E" w14:textId="0F3E8C2A" w:rsidR="000C6766" w:rsidRPr="000B1E05" w:rsidRDefault="00B03B75" w:rsidP="0022356F">
            <w:pPr>
              <w:pStyle w:val="nais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0C6766" w:rsidRPr="0078763A">
              <w:rPr>
                <w:sz w:val="28"/>
                <w:szCs w:val="28"/>
              </w:rPr>
              <w:t>eigu vārīšanās punkts FBP</w:t>
            </w:r>
          </w:p>
        </w:tc>
        <w:tc>
          <w:tcPr>
            <w:tcW w:w="1963" w:type="dxa"/>
            <w:vAlign w:val="center"/>
          </w:tcPr>
          <w:p w14:paraId="2C87396D" w14:textId="77777777" w:rsidR="000C6766" w:rsidRPr="000B1E05" w:rsidRDefault="000C6766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tilpumprocenti</w:t>
            </w:r>
          </w:p>
        </w:tc>
        <w:tc>
          <w:tcPr>
            <w:tcW w:w="1274" w:type="dxa"/>
            <w:vAlign w:val="center"/>
          </w:tcPr>
          <w:p w14:paraId="5AB2CD0F" w14:textId="77777777" w:rsidR="000C6766" w:rsidRDefault="000C6766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vAlign w:val="center"/>
          </w:tcPr>
          <w:p w14:paraId="187196B6" w14:textId="77777777" w:rsidR="000C6766" w:rsidRPr="000B1E05" w:rsidRDefault="000C6766" w:rsidP="0022356F">
            <w:pPr>
              <w:pStyle w:val="naisf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</w:tbl>
    <w:p w14:paraId="257998B6" w14:textId="6BE3FA82" w:rsidR="00BD66BF" w:rsidRDefault="00763367" w:rsidP="00763367">
      <w:pPr>
        <w:pStyle w:val="naisf"/>
        <w:spacing w:before="120" w:after="120"/>
        <w:ind w:firstLine="0"/>
        <w:rPr>
          <w:sz w:val="28"/>
          <w:szCs w:val="28"/>
        </w:rPr>
      </w:pPr>
      <w:r>
        <w:rPr>
          <w:sz w:val="28"/>
          <w:szCs w:val="28"/>
        </w:rPr>
        <w:t>Piezīmes:</w:t>
      </w:r>
    </w:p>
    <w:p w14:paraId="74F8B97E" w14:textId="6E82AB02" w:rsidR="00763367" w:rsidRDefault="00763367" w:rsidP="00763367">
      <w:pPr>
        <w:pStyle w:val="naisf"/>
        <w:spacing w:before="120" w:after="120"/>
        <w:ind w:firstLine="0"/>
        <w:rPr>
          <w:sz w:val="28"/>
          <w:szCs w:val="28"/>
        </w:rPr>
      </w:pPr>
      <w:r w:rsidRPr="00CB0CE4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="007F1ACE" w:rsidRPr="007F1ACE">
        <w:rPr>
          <w:sz w:val="28"/>
          <w:szCs w:val="28"/>
          <w:lang w:eastAsia="en-US"/>
        </w:rPr>
        <w:t xml:space="preserve">Benzīnam, kas tiek izmantota kā transporta enerģija, kvalitātes prasības atbilst standartā LVS EN 228 “Autodegvielas. </w:t>
      </w:r>
      <w:proofErr w:type="spellStart"/>
      <w:r w:rsidR="007F1ACE" w:rsidRPr="007F1ACE">
        <w:rPr>
          <w:sz w:val="28"/>
          <w:szCs w:val="28"/>
          <w:lang w:eastAsia="en-US"/>
        </w:rPr>
        <w:t>Bezsvina</w:t>
      </w:r>
      <w:proofErr w:type="spellEnd"/>
      <w:r w:rsidR="007F1ACE" w:rsidRPr="007F1ACE">
        <w:rPr>
          <w:sz w:val="28"/>
          <w:szCs w:val="28"/>
          <w:lang w:eastAsia="en-US"/>
        </w:rPr>
        <w:t xml:space="preserve"> benzīns. Prasības un testēšanas metodes”  noteiktajām prasībām.</w:t>
      </w:r>
      <w:r w:rsidR="007F1ACE">
        <w:rPr>
          <w:sz w:val="28"/>
          <w:szCs w:val="28"/>
          <w:lang w:eastAsia="en-US"/>
        </w:rPr>
        <w:t xml:space="preserve"> Nosakot un p</w:t>
      </w:r>
      <w:r>
        <w:rPr>
          <w:sz w:val="28"/>
          <w:szCs w:val="28"/>
          <w:lang w:eastAsia="en-US"/>
        </w:rPr>
        <w:t xml:space="preserve">ārbaudot atbilstību, </w:t>
      </w:r>
      <w:r w:rsidRPr="00CB0CE4">
        <w:rPr>
          <w:sz w:val="28"/>
          <w:szCs w:val="28"/>
          <w:lang w:eastAsia="en-US"/>
        </w:rPr>
        <w:t>jāizmanto pārbaudes metodes un nosacījumus,</w:t>
      </w:r>
      <w:r>
        <w:rPr>
          <w:sz w:val="28"/>
          <w:szCs w:val="28"/>
          <w:lang w:eastAsia="en-US"/>
        </w:rPr>
        <w:t xml:space="preserve"> kas norādīti </w:t>
      </w:r>
      <w:r w:rsidRPr="00CB0CE4">
        <w:rPr>
          <w:sz w:val="28"/>
          <w:szCs w:val="28"/>
          <w:lang w:eastAsia="en-US"/>
        </w:rPr>
        <w:t>standartā</w:t>
      </w:r>
      <w:r>
        <w:rPr>
          <w:sz w:val="28"/>
          <w:szCs w:val="28"/>
          <w:lang w:eastAsia="en-US"/>
        </w:rPr>
        <w:t xml:space="preserve"> </w:t>
      </w:r>
      <w:bookmarkStart w:id="2" w:name="_Hlk80792310"/>
      <w:r w:rsidRPr="008A4E3A">
        <w:rPr>
          <w:sz w:val="28"/>
          <w:szCs w:val="28"/>
        </w:rPr>
        <w:t xml:space="preserve">LVS EN 228 </w:t>
      </w:r>
      <w:r w:rsidRPr="008A4E3A">
        <w:rPr>
          <w:rStyle w:val="Emphasis"/>
          <w:sz w:val="28"/>
          <w:szCs w:val="28"/>
        </w:rPr>
        <w:t xml:space="preserve">"Autodegvielas. </w:t>
      </w:r>
      <w:proofErr w:type="spellStart"/>
      <w:r w:rsidRPr="008A4E3A">
        <w:rPr>
          <w:rStyle w:val="Emphasis"/>
          <w:sz w:val="28"/>
          <w:szCs w:val="28"/>
        </w:rPr>
        <w:t>Bezsvina</w:t>
      </w:r>
      <w:proofErr w:type="spellEnd"/>
      <w:r w:rsidRPr="008A4E3A">
        <w:rPr>
          <w:rStyle w:val="Emphasis"/>
          <w:sz w:val="28"/>
          <w:szCs w:val="28"/>
        </w:rPr>
        <w:t xml:space="preserve"> benzīns. Prasības un testēšanas metodes</w:t>
      </w:r>
      <w:r w:rsidRPr="008A4E3A">
        <w:rPr>
          <w:sz w:val="28"/>
          <w:szCs w:val="28"/>
          <w:shd w:val="clear" w:color="auto" w:fill="FFFFFF"/>
        </w:rPr>
        <w:t>"</w:t>
      </w:r>
      <w:r w:rsidRPr="008A4E3A">
        <w:rPr>
          <w:sz w:val="28"/>
          <w:szCs w:val="28"/>
        </w:rPr>
        <w:t xml:space="preserve">. </w:t>
      </w:r>
      <w:bookmarkEnd w:id="2"/>
      <w:r w:rsidRPr="008A4E3A">
        <w:rPr>
          <w:sz w:val="28"/>
          <w:szCs w:val="28"/>
        </w:rPr>
        <w:t xml:space="preserve">Pēc vajadzības var pieņemt analītiskās metodes, kas noteiktas LVS EN 228 </w:t>
      </w:r>
      <w:r w:rsidRPr="008A4E3A">
        <w:rPr>
          <w:rStyle w:val="Emphasis"/>
          <w:sz w:val="28"/>
          <w:szCs w:val="28"/>
        </w:rPr>
        <w:t xml:space="preserve">„Autodegvielas. </w:t>
      </w:r>
      <w:proofErr w:type="spellStart"/>
      <w:r w:rsidRPr="008A4E3A">
        <w:rPr>
          <w:rStyle w:val="Emphasis"/>
          <w:sz w:val="28"/>
          <w:szCs w:val="28"/>
        </w:rPr>
        <w:t>Bezsvina</w:t>
      </w:r>
      <w:proofErr w:type="spellEnd"/>
      <w:r w:rsidRPr="008A4E3A">
        <w:rPr>
          <w:rStyle w:val="Emphasis"/>
          <w:sz w:val="28"/>
          <w:szCs w:val="28"/>
        </w:rPr>
        <w:t xml:space="preserve"> benzīns. Prasības un testēšanas metodes" </w:t>
      </w:r>
      <w:r w:rsidRPr="008A4E3A">
        <w:rPr>
          <w:sz w:val="28"/>
          <w:szCs w:val="28"/>
        </w:rPr>
        <w:t>standartu aizvietošanai, ja tās var nodrošināt vismaz tādu pašu pareizību un vismaz tādu pašu precizitāti kā ar analītisko metodi, ko šī metode aizvieto</w:t>
      </w:r>
      <w:r>
        <w:rPr>
          <w:sz w:val="28"/>
          <w:szCs w:val="28"/>
        </w:rPr>
        <w:t>.</w:t>
      </w:r>
    </w:p>
    <w:p w14:paraId="15477BB5" w14:textId="6877AE9D" w:rsidR="00763367" w:rsidRDefault="00763367" w:rsidP="00763367">
      <w:pPr>
        <w:pStyle w:val="Default"/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lv-LV"/>
        </w:rPr>
      </w:pPr>
      <w:r w:rsidRPr="00763367">
        <w:rPr>
          <w:sz w:val="28"/>
          <w:szCs w:val="28"/>
          <w:vertAlign w:val="superscript"/>
          <w:lang w:val="lv-LV"/>
        </w:rPr>
        <w:t>2</w:t>
      </w:r>
      <w:r w:rsidRPr="00763367">
        <w:rPr>
          <w:sz w:val="28"/>
          <w:szCs w:val="28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lv-LV"/>
        </w:rPr>
        <w:t>Robežvertībām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 s</w:t>
      </w:r>
      <w:r w:rsidRPr="00BC6129"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pecifikācijās </w:t>
      </w:r>
      <w:r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ir </w:t>
      </w:r>
      <w:r w:rsidRPr="00BC6129">
        <w:rPr>
          <w:rFonts w:ascii="Times New Roman" w:hAnsi="Times New Roman" w:cs="Times New Roman"/>
          <w:color w:val="auto"/>
          <w:sz w:val="28"/>
          <w:szCs w:val="28"/>
          <w:lang w:val="lv-LV"/>
        </w:rPr>
        <w:t>norādītas “patiesās vērtības”</w:t>
      </w:r>
      <w:r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, kuru </w:t>
      </w:r>
      <w:r w:rsidRPr="00BC6129"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robežvērtības noteiktas saskaņā ar standartu LVS EN ISO 4259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lv-LV"/>
        </w:rPr>
        <w:t>“</w:t>
      </w:r>
      <w:r w:rsidRPr="00867FA9">
        <w:rPr>
          <w:rFonts w:ascii="Times New Roman" w:hAnsi="Times New Roman" w:cs="Times New Roman"/>
          <w:color w:val="auto"/>
          <w:sz w:val="28"/>
          <w:szCs w:val="28"/>
          <w:lang w:val="lv-LV"/>
        </w:rPr>
        <w:t>Naftas produkti. Datu precizitātes noteikšana un lietošana testēšanas metodēs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lv-LV"/>
        </w:rPr>
        <w:t>”</w:t>
      </w:r>
      <w:r w:rsidRPr="00BC6129">
        <w:rPr>
          <w:rFonts w:ascii="Times New Roman" w:hAnsi="Times New Roman" w:cs="Times New Roman"/>
          <w:color w:val="auto"/>
          <w:sz w:val="28"/>
          <w:szCs w:val="28"/>
          <w:lang w:val="lv-LV"/>
        </w:rPr>
        <w:t>, un minimālā  vērtība  noteikta 2R virs  nulles</w:t>
      </w:r>
      <w:r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 </w:t>
      </w:r>
      <w:r w:rsidRPr="00BC6129"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(R =  </w:t>
      </w:r>
      <w:proofErr w:type="spellStart"/>
      <w:r w:rsidRPr="00BC6129">
        <w:rPr>
          <w:rFonts w:ascii="Times New Roman" w:hAnsi="Times New Roman" w:cs="Times New Roman"/>
          <w:color w:val="auto"/>
          <w:sz w:val="28"/>
          <w:szCs w:val="28"/>
          <w:lang w:val="lv-LV"/>
        </w:rPr>
        <w:t>reproducējamība</w:t>
      </w:r>
      <w:proofErr w:type="spellEnd"/>
      <w:r w:rsidRPr="00BC6129">
        <w:rPr>
          <w:rFonts w:ascii="Times New Roman" w:hAnsi="Times New Roman" w:cs="Times New Roman"/>
          <w:color w:val="auto"/>
          <w:sz w:val="28"/>
          <w:szCs w:val="28"/>
          <w:lang w:val="lv-LV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  <w:lang w:val="lv-LV"/>
        </w:rPr>
        <w:t>, savukārt a</w:t>
      </w:r>
      <w:r w:rsidRPr="00BC6129">
        <w:rPr>
          <w:rFonts w:ascii="Times New Roman" w:hAnsi="Times New Roman" w:cs="Times New Roman"/>
          <w:color w:val="auto"/>
          <w:sz w:val="28"/>
          <w:szCs w:val="28"/>
          <w:lang w:val="lv-LV"/>
        </w:rPr>
        <w:t>tsevišķu mērījumu rezultātus interpretē, pamatojoties uz standartā LVS EN ISO 4259</w:t>
      </w:r>
      <w:r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 </w:t>
      </w:r>
      <w:r w:rsidRPr="00BC6129"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aprakstītajiem kritērijiem. </w:t>
      </w:r>
    </w:p>
    <w:p w14:paraId="5272B85E" w14:textId="696DA983" w:rsidR="000C6766" w:rsidRDefault="000C6766" w:rsidP="00763367">
      <w:pPr>
        <w:pStyle w:val="Default"/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lv-LV"/>
        </w:rPr>
      </w:pPr>
      <w:r w:rsidRPr="000C6766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lv-LV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lv-LV" w:eastAsia="lv-LV"/>
        </w:rPr>
        <w:t>B</w:t>
      </w:r>
      <w:r w:rsidRPr="008A4E3A">
        <w:rPr>
          <w:rFonts w:ascii="Times New Roman" w:hAnsi="Times New Roman" w:cs="Times New Roman"/>
          <w:bCs/>
          <w:color w:val="auto"/>
          <w:sz w:val="28"/>
          <w:szCs w:val="28"/>
          <w:lang w:val="lv-LV" w:eastAsia="lv-LV"/>
        </w:rPr>
        <w:t xml:space="preserve">enzīnam, kurā </w:t>
      </w:r>
      <w:proofErr w:type="spellStart"/>
      <w:r w:rsidRPr="008A4E3A">
        <w:rPr>
          <w:rFonts w:ascii="Times New Roman" w:hAnsi="Times New Roman" w:cs="Times New Roman"/>
          <w:bCs/>
          <w:color w:val="auto"/>
          <w:sz w:val="28"/>
          <w:szCs w:val="28"/>
          <w:lang w:val="lv-LV" w:eastAsia="lv-LV"/>
        </w:rPr>
        <w:t>etanola</w:t>
      </w:r>
      <w:proofErr w:type="spellEnd"/>
      <w:r w:rsidRPr="008A4E3A">
        <w:rPr>
          <w:rFonts w:ascii="Times New Roman" w:hAnsi="Times New Roman" w:cs="Times New Roman"/>
          <w:bCs/>
          <w:color w:val="auto"/>
          <w:sz w:val="28"/>
          <w:szCs w:val="28"/>
          <w:lang w:val="lv-LV" w:eastAsia="lv-LV"/>
        </w:rPr>
        <w:t xml:space="preserve"> saturs ir līdz 5 tilpumprocentiem no maisījuma tilpuma, skābekli saturošo savienojumu kopējais saturs nevar pārsniegt 2,7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lv-LV" w:eastAsia="lv-LV"/>
        </w:rPr>
        <w:t xml:space="preserve"> masas procentus.</w:t>
      </w:r>
    </w:p>
    <w:p w14:paraId="0AB8E310" w14:textId="7D500651" w:rsidR="00763367" w:rsidRDefault="0078763A" w:rsidP="00763367">
      <w:pPr>
        <w:pStyle w:val="naisf"/>
        <w:spacing w:before="120" w:after="120"/>
        <w:ind w:firstLine="0"/>
        <w:rPr>
          <w:sz w:val="28"/>
          <w:szCs w:val="28"/>
        </w:rPr>
      </w:pPr>
      <w:r w:rsidRPr="0078763A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  <w:r w:rsidR="000C6766">
        <w:rPr>
          <w:sz w:val="28"/>
          <w:szCs w:val="28"/>
        </w:rPr>
        <w:t>C</w:t>
      </w:r>
      <w:r w:rsidRPr="008A4E3A">
        <w:rPr>
          <w:sz w:val="28"/>
          <w:szCs w:val="28"/>
        </w:rPr>
        <w:t>iti vienvērtīgie spirti un ēteri, kuru viršanas beigu punkts nepārsniedz standartā LVS EN 228 “</w:t>
      </w:r>
      <w:r w:rsidRPr="008A4E3A">
        <w:rPr>
          <w:rStyle w:val="Emphasis"/>
          <w:i w:val="0"/>
          <w:iCs w:val="0"/>
          <w:sz w:val="28"/>
          <w:szCs w:val="28"/>
        </w:rPr>
        <w:t xml:space="preserve">Autodegvielas. </w:t>
      </w:r>
      <w:proofErr w:type="spellStart"/>
      <w:r w:rsidRPr="008A4E3A">
        <w:rPr>
          <w:rStyle w:val="Emphasis"/>
          <w:i w:val="0"/>
          <w:iCs w:val="0"/>
          <w:sz w:val="28"/>
          <w:szCs w:val="28"/>
        </w:rPr>
        <w:t>Bezsvina</w:t>
      </w:r>
      <w:proofErr w:type="spellEnd"/>
      <w:r w:rsidRPr="008A4E3A">
        <w:rPr>
          <w:rStyle w:val="Emphasis"/>
          <w:i w:val="0"/>
          <w:iCs w:val="0"/>
          <w:sz w:val="28"/>
          <w:szCs w:val="28"/>
        </w:rPr>
        <w:t xml:space="preserve"> benzīns. Prasības un testēšanas metodes</w:t>
      </w:r>
      <w:r w:rsidRPr="008A4E3A">
        <w:rPr>
          <w:sz w:val="28"/>
          <w:szCs w:val="28"/>
          <w:shd w:val="clear" w:color="auto" w:fill="FFFFFF"/>
        </w:rPr>
        <w:t>”</w:t>
      </w:r>
      <w:r w:rsidRPr="008A4E3A">
        <w:rPr>
          <w:sz w:val="28"/>
          <w:szCs w:val="28"/>
        </w:rPr>
        <w:t xml:space="preserve"> noteikto</w:t>
      </w:r>
      <w:r w:rsidR="000C6766">
        <w:rPr>
          <w:sz w:val="28"/>
          <w:szCs w:val="28"/>
        </w:rPr>
        <w:t>.</w:t>
      </w:r>
    </w:p>
    <w:p w14:paraId="282874A0" w14:textId="5DEFEB8F" w:rsidR="000C6766" w:rsidRPr="00815980" w:rsidRDefault="000C6766" w:rsidP="000C6766">
      <w:pPr>
        <w:pStyle w:val="naisf"/>
        <w:spacing w:before="120" w:after="120"/>
        <w:ind w:firstLine="0"/>
        <w:rPr>
          <w:sz w:val="28"/>
          <w:szCs w:val="28"/>
        </w:rPr>
      </w:pPr>
      <w:bookmarkStart w:id="3" w:name="piel5"/>
      <w:bookmarkStart w:id="4" w:name="714336"/>
      <w:bookmarkStart w:id="5" w:name="n-714336"/>
      <w:bookmarkEnd w:id="3"/>
      <w:bookmarkEnd w:id="4"/>
      <w:bookmarkEnd w:id="5"/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</w:t>
      </w:r>
      <w:r w:rsidRPr="00815980">
        <w:rPr>
          <w:sz w:val="28"/>
          <w:szCs w:val="28"/>
        </w:rPr>
        <w:t xml:space="preserve">Uz tvaika spiedienu attiecināmais vasaras periods sākas ne vēlāk par 1. jūniju un ilgst vismaz līdz 31. augustam. Tvaika spiediens no 1.septembra līdz 31.maijam nedrīkst pārsniegt 100 </w:t>
      </w:r>
      <w:proofErr w:type="spellStart"/>
      <w:r w:rsidRPr="00815980">
        <w:rPr>
          <w:sz w:val="28"/>
          <w:szCs w:val="28"/>
        </w:rPr>
        <w:t>kPa</w:t>
      </w:r>
      <w:proofErr w:type="spellEnd"/>
      <w:r w:rsidRPr="00815980">
        <w:rPr>
          <w:sz w:val="28"/>
          <w:szCs w:val="28"/>
        </w:rPr>
        <w:t>.</w:t>
      </w:r>
    </w:p>
    <w:p w14:paraId="610B8CD9" w14:textId="77777777" w:rsidR="002E224C" w:rsidRPr="008A4E3A" w:rsidRDefault="002E224C" w:rsidP="00BB667C">
      <w:pPr>
        <w:pStyle w:val="Default"/>
        <w:spacing w:before="120" w:after="1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lv-LV" w:eastAsia="lv-LV"/>
        </w:rPr>
      </w:pPr>
    </w:p>
    <w:p w14:paraId="02235BCA" w14:textId="77777777" w:rsidR="006C7B73" w:rsidRPr="008A4E3A" w:rsidRDefault="006C7B73" w:rsidP="00996711">
      <w:pPr>
        <w:pStyle w:val="Default"/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  <w:lang w:val="lv-LV"/>
        </w:rPr>
      </w:pPr>
    </w:p>
    <w:p w14:paraId="63124DCD" w14:textId="0E012F2B" w:rsidR="00625D96" w:rsidRPr="008A4E3A" w:rsidRDefault="00625D96" w:rsidP="00625D96">
      <w:pPr>
        <w:tabs>
          <w:tab w:val="left" w:pos="6521"/>
        </w:tabs>
        <w:spacing w:before="120" w:after="120"/>
        <w:jc w:val="both"/>
        <w:rPr>
          <w:rFonts w:eastAsia="Calibri"/>
          <w:sz w:val="28"/>
          <w:szCs w:val="28"/>
        </w:rPr>
      </w:pPr>
      <w:r w:rsidRPr="008A4E3A">
        <w:rPr>
          <w:rFonts w:eastAsia="Calibri"/>
          <w:sz w:val="28"/>
          <w:szCs w:val="28"/>
        </w:rPr>
        <w:t>Ekonomikas ministrs</w:t>
      </w:r>
      <w:r w:rsidR="007B6457">
        <w:rPr>
          <w:rFonts w:eastAsia="Calibri"/>
          <w:sz w:val="28"/>
          <w:szCs w:val="28"/>
        </w:rPr>
        <w:tab/>
      </w:r>
      <w:r w:rsidR="00815980">
        <w:rPr>
          <w:rFonts w:eastAsia="Calibri"/>
          <w:sz w:val="28"/>
          <w:szCs w:val="28"/>
        </w:rPr>
        <w:tab/>
      </w:r>
      <w:r w:rsidR="00815980">
        <w:rPr>
          <w:rFonts w:eastAsia="Calibri"/>
          <w:sz w:val="28"/>
          <w:szCs w:val="28"/>
        </w:rPr>
        <w:tab/>
      </w:r>
      <w:proofErr w:type="spellStart"/>
      <w:r w:rsidR="007B6457">
        <w:rPr>
          <w:rFonts w:eastAsia="Calibri"/>
          <w:sz w:val="28"/>
          <w:szCs w:val="28"/>
        </w:rPr>
        <w:t>J.Vitenbergs</w:t>
      </w:r>
      <w:proofErr w:type="spellEnd"/>
      <w:r w:rsidRPr="008A4E3A">
        <w:rPr>
          <w:rFonts w:eastAsia="Calibri"/>
          <w:sz w:val="28"/>
          <w:szCs w:val="28"/>
        </w:rPr>
        <w:tab/>
      </w:r>
      <w:bookmarkStart w:id="6" w:name="_GoBack"/>
      <w:bookmarkEnd w:id="6"/>
    </w:p>
    <w:p w14:paraId="503FABD4" w14:textId="4E93F292" w:rsidR="00625D96" w:rsidRDefault="00625D96" w:rsidP="00625D96">
      <w:pPr>
        <w:tabs>
          <w:tab w:val="left" w:pos="6521"/>
        </w:tabs>
        <w:spacing w:before="120" w:after="120"/>
        <w:ind w:firstLine="709"/>
        <w:jc w:val="both"/>
        <w:rPr>
          <w:rFonts w:eastAsia="Calibri"/>
          <w:sz w:val="28"/>
          <w:szCs w:val="28"/>
        </w:rPr>
      </w:pPr>
    </w:p>
    <w:p w14:paraId="1CCDA8A1" w14:textId="77777777" w:rsidR="009B36B0" w:rsidRPr="008A4E3A" w:rsidRDefault="009B36B0" w:rsidP="00625D96">
      <w:pPr>
        <w:tabs>
          <w:tab w:val="left" w:pos="6521"/>
        </w:tabs>
        <w:spacing w:before="120" w:after="120"/>
        <w:ind w:firstLine="709"/>
        <w:jc w:val="both"/>
        <w:rPr>
          <w:rFonts w:eastAsia="Calibri"/>
          <w:sz w:val="28"/>
          <w:szCs w:val="28"/>
        </w:rPr>
      </w:pPr>
    </w:p>
    <w:p w14:paraId="35AFD59C" w14:textId="3B544407" w:rsidR="00625D96" w:rsidRPr="008A4E3A" w:rsidRDefault="00625D96" w:rsidP="00625D96">
      <w:pPr>
        <w:tabs>
          <w:tab w:val="left" w:pos="6521"/>
        </w:tabs>
        <w:spacing w:before="120" w:after="120"/>
        <w:jc w:val="both"/>
        <w:rPr>
          <w:rFonts w:eastAsia="Calibri"/>
          <w:sz w:val="28"/>
          <w:szCs w:val="28"/>
        </w:rPr>
      </w:pPr>
      <w:r w:rsidRPr="008A4E3A">
        <w:rPr>
          <w:sz w:val="28"/>
          <w:szCs w:val="28"/>
        </w:rPr>
        <w:t xml:space="preserve">Valsts sekretārs </w:t>
      </w:r>
      <w:r w:rsidRPr="008A4E3A">
        <w:rPr>
          <w:sz w:val="28"/>
          <w:szCs w:val="28"/>
        </w:rPr>
        <w:tab/>
      </w:r>
      <w:r w:rsidR="00815980">
        <w:rPr>
          <w:sz w:val="28"/>
          <w:szCs w:val="28"/>
        </w:rPr>
        <w:tab/>
      </w:r>
      <w:r w:rsidR="00815980">
        <w:rPr>
          <w:sz w:val="28"/>
          <w:szCs w:val="28"/>
        </w:rPr>
        <w:tab/>
      </w:r>
      <w:proofErr w:type="spellStart"/>
      <w:r w:rsidRPr="008A4E3A">
        <w:rPr>
          <w:sz w:val="28"/>
          <w:szCs w:val="28"/>
        </w:rPr>
        <w:t>E</w:t>
      </w:r>
      <w:r w:rsidR="00213C98">
        <w:rPr>
          <w:sz w:val="28"/>
          <w:szCs w:val="28"/>
        </w:rPr>
        <w:t>.</w:t>
      </w:r>
      <w:r w:rsidRPr="008A4E3A">
        <w:rPr>
          <w:sz w:val="28"/>
          <w:szCs w:val="28"/>
        </w:rPr>
        <w:t>Valantis</w:t>
      </w:r>
      <w:proofErr w:type="spellEnd"/>
    </w:p>
    <w:p w14:paraId="35A2833C" w14:textId="77777777" w:rsidR="00625D96" w:rsidRPr="008A4E3A" w:rsidRDefault="00625D96" w:rsidP="00996711">
      <w:pPr>
        <w:pStyle w:val="Default"/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  <w:lang w:val="lv-LV"/>
        </w:rPr>
      </w:pPr>
    </w:p>
    <w:sectPr w:rsidR="00625D96" w:rsidRPr="008A4E3A" w:rsidSect="00BD66BF">
      <w:headerReference w:type="default" r:id="rId8"/>
      <w:type w:val="continuous"/>
      <w:pgSz w:w="11906" w:h="16838" w:code="9"/>
      <w:pgMar w:top="1418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1CFA2" w14:textId="77777777" w:rsidR="001C0D1A" w:rsidRDefault="001C0D1A">
      <w:r>
        <w:separator/>
      </w:r>
    </w:p>
  </w:endnote>
  <w:endnote w:type="continuationSeparator" w:id="0">
    <w:p w14:paraId="03FC7484" w14:textId="77777777" w:rsidR="001C0D1A" w:rsidRDefault="001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9CF45" w14:textId="77777777" w:rsidR="001C0D1A" w:rsidRDefault="001C0D1A">
      <w:r>
        <w:separator/>
      </w:r>
    </w:p>
  </w:footnote>
  <w:footnote w:type="continuationSeparator" w:id="0">
    <w:p w14:paraId="5F87B99C" w14:textId="77777777" w:rsidR="001C0D1A" w:rsidRDefault="001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0359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D8647C" w14:textId="7CA264E2" w:rsidR="007B6457" w:rsidRDefault="007B64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0F560" w14:textId="2C9D97E1" w:rsidR="00881B7E" w:rsidRDefault="00881B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411"/>
    <w:multiLevelType w:val="hybridMultilevel"/>
    <w:tmpl w:val="F1A4EA5A"/>
    <w:lvl w:ilvl="0" w:tplc="386AC45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1">
    <w:nsid w:val="0E406782"/>
    <w:multiLevelType w:val="hybridMultilevel"/>
    <w:tmpl w:val="45FAED72"/>
    <w:lvl w:ilvl="0" w:tplc="DE4EE49E">
      <w:start w:val="1"/>
      <w:numFmt w:val="decimal"/>
      <w:lvlText w:val="%1."/>
      <w:lvlJc w:val="left"/>
      <w:pPr>
        <w:ind w:left="1429" w:hanging="360"/>
      </w:pPr>
    </w:lvl>
    <w:lvl w:ilvl="1" w:tplc="2F1CD0AC" w:tentative="1">
      <w:start w:val="1"/>
      <w:numFmt w:val="lowerLetter"/>
      <w:lvlText w:val="%2."/>
      <w:lvlJc w:val="left"/>
      <w:pPr>
        <w:ind w:left="2149" w:hanging="360"/>
      </w:pPr>
    </w:lvl>
    <w:lvl w:ilvl="2" w:tplc="0F4AD85C" w:tentative="1">
      <w:start w:val="1"/>
      <w:numFmt w:val="lowerRoman"/>
      <w:lvlText w:val="%3."/>
      <w:lvlJc w:val="right"/>
      <w:pPr>
        <w:ind w:left="2869" w:hanging="180"/>
      </w:pPr>
    </w:lvl>
    <w:lvl w:ilvl="3" w:tplc="DA50DAEC" w:tentative="1">
      <w:start w:val="1"/>
      <w:numFmt w:val="decimal"/>
      <w:lvlText w:val="%4."/>
      <w:lvlJc w:val="left"/>
      <w:pPr>
        <w:ind w:left="3589" w:hanging="360"/>
      </w:pPr>
    </w:lvl>
    <w:lvl w:ilvl="4" w:tplc="42BA52E4" w:tentative="1">
      <w:start w:val="1"/>
      <w:numFmt w:val="lowerLetter"/>
      <w:lvlText w:val="%5."/>
      <w:lvlJc w:val="left"/>
      <w:pPr>
        <w:ind w:left="4309" w:hanging="360"/>
      </w:pPr>
    </w:lvl>
    <w:lvl w:ilvl="5" w:tplc="6B5C1434" w:tentative="1">
      <w:start w:val="1"/>
      <w:numFmt w:val="lowerRoman"/>
      <w:lvlText w:val="%6."/>
      <w:lvlJc w:val="right"/>
      <w:pPr>
        <w:ind w:left="5029" w:hanging="180"/>
      </w:pPr>
    </w:lvl>
    <w:lvl w:ilvl="6" w:tplc="7E4A4D4A" w:tentative="1">
      <w:start w:val="1"/>
      <w:numFmt w:val="decimal"/>
      <w:lvlText w:val="%7."/>
      <w:lvlJc w:val="left"/>
      <w:pPr>
        <w:ind w:left="5749" w:hanging="360"/>
      </w:pPr>
    </w:lvl>
    <w:lvl w:ilvl="7" w:tplc="A4140DE2" w:tentative="1">
      <w:start w:val="1"/>
      <w:numFmt w:val="lowerLetter"/>
      <w:lvlText w:val="%8."/>
      <w:lvlJc w:val="left"/>
      <w:pPr>
        <w:ind w:left="6469" w:hanging="360"/>
      </w:pPr>
    </w:lvl>
    <w:lvl w:ilvl="8" w:tplc="E4E6E94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1">
    <w:nsid w:val="1B4976D0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1D004480"/>
    <w:multiLevelType w:val="hybridMultilevel"/>
    <w:tmpl w:val="283A95E2"/>
    <w:lvl w:ilvl="0" w:tplc="AC408D3C">
      <w:start w:val="1"/>
      <w:numFmt w:val="decimal"/>
      <w:lvlText w:val="%1."/>
      <w:lvlJc w:val="left"/>
      <w:pPr>
        <w:ind w:left="720" w:hanging="360"/>
      </w:pPr>
    </w:lvl>
    <w:lvl w:ilvl="1" w:tplc="B99C15B8" w:tentative="1">
      <w:start w:val="1"/>
      <w:numFmt w:val="lowerLetter"/>
      <w:lvlText w:val="%2."/>
      <w:lvlJc w:val="left"/>
      <w:pPr>
        <w:ind w:left="1440" w:hanging="360"/>
      </w:pPr>
    </w:lvl>
    <w:lvl w:ilvl="2" w:tplc="7F26382E" w:tentative="1">
      <w:start w:val="1"/>
      <w:numFmt w:val="lowerRoman"/>
      <w:lvlText w:val="%3."/>
      <w:lvlJc w:val="right"/>
      <w:pPr>
        <w:ind w:left="2160" w:hanging="180"/>
      </w:pPr>
    </w:lvl>
    <w:lvl w:ilvl="3" w:tplc="B568C442" w:tentative="1">
      <w:start w:val="1"/>
      <w:numFmt w:val="decimal"/>
      <w:lvlText w:val="%4."/>
      <w:lvlJc w:val="left"/>
      <w:pPr>
        <w:ind w:left="2880" w:hanging="360"/>
      </w:pPr>
    </w:lvl>
    <w:lvl w:ilvl="4" w:tplc="B6427E3A" w:tentative="1">
      <w:start w:val="1"/>
      <w:numFmt w:val="lowerLetter"/>
      <w:lvlText w:val="%5."/>
      <w:lvlJc w:val="left"/>
      <w:pPr>
        <w:ind w:left="3600" w:hanging="360"/>
      </w:pPr>
    </w:lvl>
    <w:lvl w:ilvl="5" w:tplc="FAD2EC1A" w:tentative="1">
      <w:start w:val="1"/>
      <w:numFmt w:val="lowerRoman"/>
      <w:lvlText w:val="%6."/>
      <w:lvlJc w:val="right"/>
      <w:pPr>
        <w:ind w:left="4320" w:hanging="180"/>
      </w:pPr>
    </w:lvl>
    <w:lvl w:ilvl="6" w:tplc="42BEEE7E" w:tentative="1">
      <w:start w:val="1"/>
      <w:numFmt w:val="decimal"/>
      <w:lvlText w:val="%7."/>
      <w:lvlJc w:val="left"/>
      <w:pPr>
        <w:ind w:left="5040" w:hanging="360"/>
      </w:pPr>
    </w:lvl>
    <w:lvl w:ilvl="7" w:tplc="E7B23F4A" w:tentative="1">
      <w:start w:val="1"/>
      <w:numFmt w:val="lowerLetter"/>
      <w:lvlText w:val="%8."/>
      <w:lvlJc w:val="left"/>
      <w:pPr>
        <w:ind w:left="5760" w:hanging="360"/>
      </w:pPr>
    </w:lvl>
    <w:lvl w:ilvl="8" w:tplc="764A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E723367"/>
    <w:multiLevelType w:val="hybridMultilevel"/>
    <w:tmpl w:val="48320A66"/>
    <w:lvl w:ilvl="0" w:tplc="88522A98">
      <w:start w:val="1"/>
      <w:numFmt w:val="decimal"/>
      <w:lvlText w:val="%1."/>
      <w:lvlJc w:val="left"/>
      <w:pPr>
        <w:ind w:left="720" w:hanging="360"/>
      </w:pPr>
    </w:lvl>
    <w:lvl w:ilvl="1" w:tplc="748A51FA">
      <w:start w:val="1"/>
      <w:numFmt w:val="lowerLetter"/>
      <w:lvlText w:val="%2."/>
      <w:lvlJc w:val="left"/>
      <w:pPr>
        <w:ind w:left="1440" w:hanging="360"/>
      </w:pPr>
    </w:lvl>
    <w:lvl w:ilvl="2" w:tplc="6E38CD90" w:tentative="1">
      <w:start w:val="1"/>
      <w:numFmt w:val="lowerRoman"/>
      <w:lvlText w:val="%3."/>
      <w:lvlJc w:val="right"/>
      <w:pPr>
        <w:ind w:left="2160" w:hanging="180"/>
      </w:pPr>
    </w:lvl>
    <w:lvl w:ilvl="3" w:tplc="999A15B8" w:tentative="1">
      <w:start w:val="1"/>
      <w:numFmt w:val="decimal"/>
      <w:lvlText w:val="%4."/>
      <w:lvlJc w:val="left"/>
      <w:pPr>
        <w:ind w:left="2880" w:hanging="360"/>
      </w:pPr>
    </w:lvl>
    <w:lvl w:ilvl="4" w:tplc="83140860" w:tentative="1">
      <w:start w:val="1"/>
      <w:numFmt w:val="lowerLetter"/>
      <w:lvlText w:val="%5."/>
      <w:lvlJc w:val="left"/>
      <w:pPr>
        <w:ind w:left="3600" w:hanging="360"/>
      </w:pPr>
    </w:lvl>
    <w:lvl w:ilvl="5" w:tplc="AFD882BE" w:tentative="1">
      <w:start w:val="1"/>
      <w:numFmt w:val="lowerRoman"/>
      <w:lvlText w:val="%6."/>
      <w:lvlJc w:val="right"/>
      <w:pPr>
        <w:ind w:left="4320" w:hanging="180"/>
      </w:pPr>
    </w:lvl>
    <w:lvl w:ilvl="6" w:tplc="31501CD4" w:tentative="1">
      <w:start w:val="1"/>
      <w:numFmt w:val="decimal"/>
      <w:lvlText w:val="%7."/>
      <w:lvlJc w:val="left"/>
      <w:pPr>
        <w:ind w:left="5040" w:hanging="360"/>
      </w:pPr>
    </w:lvl>
    <w:lvl w:ilvl="7" w:tplc="32569E24" w:tentative="1">
      <w:start w:val="1"/>
      <w:numFmt w:val="lowerLetter"/>
      <w:lvlText w:val="%8."/>
      <w:lvlJc w:val="left"/>
      <w:pPr>
        <w:ind w:left="5760" w:hanging="360"/>
      </w:pPr>
    </w:lvl>
    <w:lvl w:ilvl="8" w:tplc="5AA04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39847BA"/>
    <w:multiLevelType w:val="multilevel"/>
    <w:tmpl w:val="953A5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6" w15:restartNumberingAfterBreak="0">
    <w:nsid w:val="28295EFC"/>
    <w:multiLevelType w:val="hybridMultilevel"/>
    <w:tmpl w:val="8DE28D1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458AE"/>
    <w:multiLevelType w:val="hybridMultilevel"/>
    <w:tmpl w:val="BFFE0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22B2ABC"/>
    <w:multiLevelType w:val="hybridMultilevel"/>
    <w:tmpl w:val="DF52F492"/>
    <w:lvl w:ilvl="0" w:tplc="84A4F7AA">
      <w:start w:val="32"/>
      <w:numFmt w:val="decimal"/>
      <w:lvlText w:val="%1."/>
      <w:lvlJc w:val="left"/>
      <w:pPr>
        <w:ind w:left="1792" w:hanging="375"/>
      </w:pPr>
      <w:rPr>
        <w:rFonts w:hint="default"/>
      </w:rPr>
    </w:lvl>
    <w:lvl w:ilvl="1" w:tplc="E78C9FF6">
      <w:start w:val="1"/>
      <w:numFmt w:val="lowerLetter"/>
      <w:lvlText w:val="%2."/>
      <w:lvlJc w:val="left"/>
      <w:pPr>
        <w:ind w:left="1080" w:hanging="360"/>
      </w:pPr>
    </w:lvl>
    <w:lvl w:ilvl="2" w:tplc="070C9566" w:tentative="1">
      <w:start w:val="1"/>
      <w:numFmt w:val="lowerRoman"/>
      <w:lvlText w:val="%3."/>
      <w:lvlJc w:val="right"/>
      <w:pPr>
        <w:ind w:left="1800" w:hanging="180"/>
      </w:pPr>
    </w:lvl>
    <w:lvl w:ilvl="3" w:tplc="D5800CB0" w:tentative="1">
      <w:start w:val="1"/>
      <w:numFmt w:val="decimal"/>
      <w:lvlText w:val="%4."/>
      <w:lvlJc w:val="left"/>
      <w:pPr>
        <w:ind w:left="2520" w:hanging="360"/>
      </w:pPr>
    </w:lvl>
    <w:lvl w:ilvl="4" w:tplc="FEE65C88" w:tentative="1">
      <w:start w:val="1"/>
      <w:numFmt w:val="lowerLetter"/>
      <w:lvlText w:val="%5."/>
      <w:lvlJc w:val="left"/>
      <w:pPr>
        <w:ind w:left="3240" w:hanging="360"/>
      </w:pPr>
    </w:lvl>
    <w:lvl w:ilvl="5" w:tplc="6492CE64" w:tentative="1">
      <w:start w:val="1"/>
      <w:numFmt w:val="lowerRoman"/>
      <w:lvlText w:val="%6."/>
      <w:lvlJc w:val="right"/>
      <w:pPr>
        <w:ind w:left="3960" w:hanging="180"/>
      </w:pPr>
    </w:lvl>
    <w:lvl w:ilvl="6" w:tplc="5DEA4B34" w:tentative="1">
      <w:start w:val="1"/>
      <w:numFmt w:val="decimal"/>
      <w:lvlText w:val="%7."/>
      <w:lvlJc w:val="left"/>
      <w:pPr>
        <w:ind w:left="4680" w:hanging="360"/>
      </w:pPr>
    </w:lvl>
    <w:lvl w:ilvl="7" w:tplc="752211B8" w:tentative="1">
      <w:start w:val="1"/>
      <w:numFmt w:val="lowerLetter"/>
      <w:lvlText w:val="%8."/>
      <w:lvlJc w:val="left"/>
      <w:pPr>
        <w:ind w:left="5400" w:hanging="360"/>
      </w:pPr>
    </w:lvl>
    <w:lvl w:ilvl="8" w:tplc="3B2446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5B3B7E"/>
    <w:multiLevelType w:val="multilevel"/>
    <w:tmpl w:val="E2405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A332532"/>
    <w:multiLevelType w:val="hybridMultilevel"/>
    <w:tmpl w:val="FE0E2908"/>
    <w:lvl w:ilvl="0" w:tplc="B5A2A0DE">
      <w:start w:val="2"/>
      <w:numFmt w:val="upperRoman"/>
      <w:lvlText w:val="%1&gt;"/>
      <w:lvlJc w:val="left"/>
      <w:pPr>
        <w:ind w:left="1095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1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1">
    <w:nsid w:val="6B4B6EFD"/>
    <w:multiLevelType w:val="hybridMultilevel"/>
    <w:tmpl w:val="78D282CC"/>
    <w:lvl w:ilvl="0" w:tplc="970649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CF8ED9A" w:tentative="1">
      <w:start w:val="1"/>
      <w:numFmt w:val="lowerLetter"/>
      <w:lvlText w:val="%2."/>
      <w:lvlJc w:val="left"/>
      <w:pPr>
        <w:ind w:left="1440" w:hanging="360"/>
      </w:pPr>
    </w:lvl>
    <w:lvl w:ilvl="2" w:tplc="D362CE46" w:tentative="1">
      <w:start w:val="1"/>
      <w:numFmt w:val="lowerRoman"/>
      <w:lvlText w:val="%3."/>
      <w:lvlJc w:val="right"/>
      <w:pPr>
        <w:ind w:left="2160" w:hanging="180"/>
      </w:pPr>
    </w:lvl>
    <w:lvl w:ilvl="3" w:tplc="ED5CA58E" w:tentative="1">
      <w:start w:val="1"/>
      <w:numFmt w:val="decimal"/>
      <w:lvlText w:val="%4."/>
      <w:lvlJc w:val="left"/>
      <w:pPr>
        <w:ind w:left="2880" w:hanging="360"/>
      </w:pPr>
    </w:lvl>
    <w:lvl w:ilvl="4" w:tplc="BF02638C" w:tentative="1">
      <w:start w:val="1"/>
      <w:numFmt w:val="lowerLetter"/>
      <w:lvlText w:val="%5."/>
      <w:lvlJc w:val="left"/>
      <w:pPr>
        <w:ind w:left="3600" w:hanging="360"/>
      </w:pPr>
    </w:lvl>
    <w:lvl w:ilvl="5" w:tplc="6764F160" w:tentative="1">
      <w:start w:val="1"/>
      <w:numFmt w:val="lowerRoman"/>
      <w:lvlText w:val="%6."/>
      <w:lvlJc w:val="right"/>
      <w:pPr>
        <w:ind w:left="4320" w:hanging="180"/>
      </w:pPr>
    </w:lvl>
    <w:lvl w:ilvl="6" w:tplc="7BC6F002" w:tentative="1">
      <w:start w:val="1"/>
      <w:numFmt w:val="decimal"/>
      <w:lvlText w:val="%7."/>
      <w:lvlJc w:val="left"/>
      <w:pPr>
        <w:ind w:left="5040" w:hanging="360"/>
      </w:pPr>
    </w:lvl>
    <w:lvl w:ilvl="7" w:tplc="06E8657A" w:tentative="1">
      <w:start w:val="1"/>
      <w:numFmt w:val="lowerLetter"/>
      <w:lvlText w:val="%8."/>
      <w:lvlJc w:val="left"/>
      <w:pPr>
        <w:ind w:left="5760" w:hanging="360"/>
      </w:pPr>
    </w:lvl>
    <w:lvl w:ilvl="8" w:tplc="655013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0205"/>
    <w:rsid w:val="0001382E"/>
    <w:rsid w:val="000149FD"/>
    <w:rsid w:val="00023004"/>
    <w:rsid w:val="00024B7B"/>
    <w:rsid w:val="000343F2"/>
    <w:rsid w:val="0003569F"/>
    <w:rsid w:val="00041005"/>
    <w:rsid w:val="000459A8"/>
    <w:rsid w:val="00064A65"/>
    <w:rsid w:val="00065417"/>
    <w:rsid w:val="00067DFE"/>
    <w:rsid w:val="000722BF"/>
    <w:rsid w:val="00082F4C"/>
    <w:rsid w:val="000861B3"/>
    <w:rsid w:val="00091263"/>
    <w:rsid w:val="00091BD1"/>
    <w:rsid w:val="000934C5"/>
    <w:rsid w:val="00094C42"/>
    <w:rsid w:val="00097A3F"/>
    <w:rsid w:val="000A5426"/>
    <w:rsid w:val="000A64F4"/>
    <w:rsid w:val="000A7D69"/>
    <w:rsid w:val="000B1E40"/>
    <w:rsid w:val="000B4EA2"/>
    <w:rsid w:val="000B5288"/>
    <w:rsid w:val="000C2442"/>
    <w:rsid w:val="000C6766"/>
    <w:rsid w:val="000D0BD6"/>
    <w:rsid w:val="000D40A4"/>
    <w:rsid w:val="000E3936"/>
    <w:rsid w:val="000E46CA"/>
    <w:rsid w:val="000F2D8F"/>
    <w:rsid w:val="00115256"/>
    <w:rsid w:val="001213EF"/>
    <w:rsid w:val="00122824"/>
    <w:rsid w:val="00122A47"/>
    <w:rsid w:val="00123719"/>
    <w:rsid w:val="001254CA"/>
    <w:rsid w:val="00126193"/>
    <w:rsid w:val="00132522"/>
    <w:rsid w:val="00137AC9"/>
    <w:rsid w:val="001411A3"/>
    <w:rsid w:val="00141F73"/>
    <w:rsid w:val="00143163"/>
    <w:rsid w:val="00143392"/>
    <w:rsid w:val="00143694"/>
    <w:rsid w:val="00144D7B"/>
    <w:rsid w:val="001458FE"/>
    <w:rsid w:val="00151857"/>
    <w:rsid w:val="001529B0"/>
    <w:rsid w:val="0015597C"/>
    <w:rsid w:val="00162B07"/>
    <w:rsid w:val="00166916"/>
    <w:rsid w:val="00166FCA"/>
    <w:rsid w:val="0016761B"/>
    <w:rsid w:val="0017020E"/>
    <w:rsid w:val="0017478B"/>
    <w:rsid w:val="00181AD6"/>
    <w:rsid w:val="00190B2B"/>
    <w:rsid w:val="001920E1"/>
    <w:rsid w:val="00196238"/>
    <w:rsid w:val="001A62A8"/>
    <w:rsid w:val="001A790C"/>
    <w:rsid w:val="001C0D1A"/>
    <w:rsid w:val="001C2481"/>
    <w:rsid w:val="001C406A"/>
    <w:rsid w:val="001C4AB6"/>
    <w:rsid w:val="001C54BD"/>
    <w:rsid w:val="001D1C3D"/>
    <w:rsid w:val="001D31F3"/>
    <w:rsid w:val="001D7F58"/>
    <w:rsid w:val="00201120"/>
    <w:rsid w:val="002040C5"/>
    <w:rsid w:val="00204C76"/>
    <w:rsid w:val="00213C98"/>
    <w:rsid w:val="00215BEC"/>
    <w:rsid w:val="00216C6D"/>
    <w:rsid w:val="0022527B"/>
    <w:rsid w:val="002324E9"/>
    <w:rsid w:val="00235571"/>
    <w:rsid w:val="00235800"/>
    <w:rsid w:val="00240843"/>
    <w:rsid w:val="00242C98"/>
    <w:rsid w:val="0024489B"/>
    <w:rsid w:val="002527F0"/>
    <w:rsid w:val="00261074"/>
    <w:rsid w:val="00263500"/>
    <w:rsid w:val="00267365"/>
    <w:rsid w:val="00270111"/>
    <w:rsid w:val="00274298"/>
    <w:rsid w:val="002853B1"/>
    <w:rsid w:val="00294ED1"/>
    <w:rsid w:val="00296B5E"/>
    <w:rsid w:val="002A72A1"/>
    <w:rsid w:val="002B1439"/>
    <w:rsid w:val="002B17D6"/>
    <w:rsid w:val="002B4F52"/>
    <w:rsid w:val="002B57C7"/>
    <w:rsid w:val="002B5F22"/>
    <w:rsid w:val="002C2123"/>
    <w:rsid w:val="002C51C0"/>
    <w:rsid w:val="002D4437"/>
    <w:rsid w:val="002D5D3B"/>
    <w:rsid w:val="002D5FC0"/>
    <w:rsid w:val="002E224C"/>
    <w:rsid w:val="002E2FAD"/>
    <w:rsid w:val="002F09CE"/>
    <w:rsid w:val="002F352A"/>
    <w:rsid w:val="002F71E6"/>
    <w:rsid w:val="00311E49"/>
    <w:rsid w:val="003130E9"/>
    <w:rsid w:val="003214F5"/>
    <w:rsid w:val="00331A1D"/>
    <w:rsid w:val="00334DBB"/>
    <w:rsid w:val="0034323F"/>
    <w:rsid w:val="003460CE"/>
    <w:rsid w:val="003461B0"/>
    <w:rsid w:val="00352CDF"/>
    <w:rsid w:val="00356A39"/>
    <w:rsid w:val="00365211"/>
    <w:rsid w:val="003657FB"/>
    <w:rsid w:val="00370725"/>
    <w:rsid w:val="003712DA"/>
    <w:rsid w:val="00376128"/>
    <w:rsid w:val="00376CF7"/>
    <w:rsid w:val="0037734D"/>
    <w:rsid w:val="00390C59"/>
    <w:rsid w:val="00394279"/>
    <w:rsid w:val="00395BC5"/>
    <w:rsid w:val="003A0B2F"/>
    <w:rsid w:val="003B0372"/>
    <w:rsid w:val="003B6775"/>
    <w:rsid w:val="003C03AE"/>
    <w:rsid w:val="003C3013"/>
    <w:rsid w:val="003C368A"/>
    <w:rsid w:val="003C48F4"/>
    <w:rsid w:val="003D3166"/>
    <w:rsid w:val="003D7DF6"/>
    <w:rsid w:val="003E02C5"/>
    <w:rsid w:val="003E1992"/>
    <w:rsid w:val="003E496D"/>
    <w:rsid w:val="003F24CD"/>
    <w:rsid w:val="003F2AFD"/>
    <w:rsid w:val="00400CF1"/>
    <w:rsid w:val="00401E92"/>
    <w:rsid w:val="00404CAA"/>
    <w:rsid w:val="00411234"/>
    <w:rsid w:val="004203E7"/>
    <w:rsid w:val="00421793"/>
    <w:rsid w:val="00422559"/>
    <w:rsid w:val="00432D46"/>
    <w:rsid w:val="00433DAD"/>
    <w:rsid w:val="0044510A"/>
    <w:rsid w:val="004466A0"/>
    <w:rsid w:val="00452998"/>
    <w:rsid w:val="004614BD"/>
    <w:rsid w:val="0046246D"/>
    <w:rsid w:val="00463119"/>
    <w:rsid w:val="004632BB"/>
    <w:rsid w:val="00464975"/>
    <w:rsid w:val="00465518"/>
    <w:rsid w:val="0047351D"/>
    <w:rsid w:val="0047768F"/>
    <w:rsid w:val="00480443"/>
    <w:rsid w:val="00482603"/>
    <w:rsid w:val="004944D5"/>
    <w:rsid w:val="00497C20"/>
    <w:rsid w:val="004A044A"/>
    <w:rsid w:val="004A2ABD"/>
    <w:rsid w:val="004A33AE"/>
    <w:rsid w:val="004A56B3"/>
    <w:rsid w:val="004A6089"/>
    <w:rsid w:val="004A7CF3"/>
    <w:rsid w:val="004B19B6"/>
    <w:rsid w:val="004B6E00"/>
    <w:rsid w:val="004C0159"/>
    <w:rsid w:val="004C2309"/>
    <w:rsid w:val="004C4B79"/>
    <w:rsid w:val="004C60C4"/>
    <w:rsid w:val="004C789C"/>
    <w:rsid w:val="004D4846"/>
    <w:rsid w:val="004D5310"/>
    <w:rsid w:val="004E3119"/>
    <w:rsid w:val="004E5A1D"/>
    <w:rsid w:val="004E74DA"/>
    <w:rsid w:val="004F616D"/>
    <w:rsid w:val="005003A0"/>
    <w:rsid w:val="00501805"/>
    <w:rsid w:val="0051452D"/>
    <w:rsid w:val="00523B02"/>
    <w:rsid w:val="00524BFD"/>
    <w:rsid w:val="005256C0"/>
    <w:rsid w:val="00537199"/>
    <w:rsid w:val="00541FD2"/>
    <w:rsid w:val="005446CA"/>
    <w:rsid w:val="0055503E"/>
    <w:rsid w:val="00561CD0"/>
    <w:rsid w:val="00567EA6"/>
    <w:rsid w:val="00572852"/>
    <w:rsid w:val="00573A6E"/>
    <w:rsid w:val="00574B34"/>
    <w:rsid w:val="00576144"/>
    <w:rsid w:val="0058034F"/>
    <w:rsid w:val="00584394"/>
    <w:rsid w:val="0058678E"/>
    <w:rsid w:val="00594797"/>
    <w:rsid w:val="005966AB"/>
    <w:rsid w:val="0059781C"/>
    <w:rsid w:val="0059785F"/>
    <w:rsid w:val="005A2632"/>
    <w:rsid w:val="005A2684"/>
    <w:rsid w:val="005A6234"/>
    <w:rsid w:val="005B246F"/>
    <w:rsid w:val="005B5197"/>
    <w:rsid w:val="005C2A8B"/>
    <w:rsid w:val="005C2E05"/>
    <w:rsid w:val="005C78D9"/>
    <w:rsid w:val="005C7F82"/>
    <w:rsid w:val="005D285F"/>
    <w:rsid w:val="005D534B"/>
    <w:rsid w:val="005D613F"/>
    <w:rsid w:val="005E2B87"/>
    <w:rsid w:val="005E43BF"/>
    <w:rsid w:val="005E53E5"/>
    <w:rsid w:val="005F5401"/>
    <w:rsid w:val="00600472"/>
    <w:rsid w:val="0060088B"/>
    <w:rsid w:val="006078AC"/>
    <w:rsid w:val="006126CC"/>
    <w:rsid w:val="00614A9C"/>
    <w:rsid w:val="00615BB4"/>
    <w:rsid w:val="006213C3"/>
    <w:rsid w:val="00623DF2"/>
    <w:rsid w:val="00625D96"/>
    <w:rsid w:val="00627B55"/>
    <w:rsid w:val="0064093A"/>
    <w:rsid w:val="006457F2"/>
    <w:rsid w:val="00651934"/>
    <w:rsid w:val="006529F7"/>
    <w:rsid w:val="00654CF0"/>
    <w:rsid w:val="00664357"/>
    <w:rsid w:val="00665111"/>
    <w:rsid w:val="00671D14"/>
    <w:rsid w:val="006724F1"/>
    <w:rsid w:val="0067598F"/>
    <w:rsid w:val="00681497"/>
    <w:rsid w:val="00681F12"/>
    <w:rsid w:val="00684B30"/>
    <w:rsid w:val="0068514E"/>
    <w:rsid w:val="00692104"/>
    <w:rsid w:val="00695B9B"/>
    <w:rsid w:val="00696F7F"/>
    <w:rsid w:val="006A0D35"/>
    <w:rsid w:val="006A4F8B"/>
    <w:rsid w:val="006A792B"/>
    <w:rsid w:val="006B4EDF"/>
    <w:rsid w:val="006B60F9"/>
    <w:rsid w:val="006C4B76"/>
    <w:rsid w:val="006C7B73"/>
    <w:rsid w:val="006C7DFF"/>
    <w:rsid w:val="006D3BF2"/>
    <w:rsid w:val="006E32F5"/>
    <w:rsid w:val="006E5D5F"/>
    <w:rsid w:val="006E5FE2"/>
    <w:rsid w:val="006E6314"/>
    <w:rsid w:val="006E7A9B"/>
    <w:rsid w:val="006F58B8"/>
    <w:rsid w:val="00705126"/>
    <w:rsid w:val="00713037"/>
    <w:rsid w:val="007135D6"/>
    <w:rsid w:val="0071733E"/>
    <w:rsid w:val="00721036"/>
    <w:rsid w:val="00724EB6"/>
    <w:rsid w:val="00736E51"/>
    <w:rsid w:val="00737466"/>
    <w:rsid w:val="00746861"/>
    <w:rsid w:val="00746F4F"/>
    <w:rsid w:val="00750EE3"/>
    <w:rsid w:val="007551E3"/>
    <w:rsid w:val="00760F07"/>
    <w:rsid w:val="00763367"/>
    <w:rsid w:val="00764DEC"/>
    <w:rsid w:val="00774A4B"/>
    <w:rsid w:val="00775F74"/>
    <w:rsid w:val="007821F1"/>
    <w:rsid w:val="0078763A"/>
    <w:rsid w:val="00787DA8"/>
    <w:rsid w:val="007947CC"/>
    <w:rsid w:val="00796BFD"/>
    <w:rsid w:val="007A79C3"/>
    <w:rsid w:val="007B1238"/>
    <w:rsid w:val="007B5DBD"/>
    <w:rsid w:val="007B6457"/>
    <w:rsid w:val="007B733C"/>
    <w:rsid w:val="007C63F0"/>
    <w:rsid w:val="007E14DA"/>
    <w:rsid w:val="007E43AF"/>
    <w:rsid w:val="007E4545"/>
    <w:rsid w:val="007E4F07"/>
    <w:rsid w:val="007E55DE"/>
    <w:rsid w:val="007E6756"/>
    <w:rsid w:val="007F161A"/>
    <w:rsid w:val="007F1ACE"/>
    <w:rsid w:val="007F30B7"/>
    <w:rsid w:val="007F7F31"/>
    <w:rsid w:val="0080189A"/>
    <w:rsid w:val="00812AFA"/>
    <w:rsid w:val="00815980"/>
    <w:rsid w:val="00816862"/>
    <w:rsid w:val="00820674"/>
    <w:rsid w:val="008234C4"/>
    <w:rsid w:val="008357E2"/>
    <w:rsid w:val="00837BBE"/>
    <w:rsid w:val="008441C8"/>
    <w:rsid w:val="008467C5"/>
    <w:rsid w:val="00856498"/>
    <w:rsid w:val="00857069"/>
    <w:rsid w:val="00861DB0"/>
    <w:rsid w:val="0086399E"/>
    <w:rsid w:val="008644A0"/>
    <w:rsid w:val="00864D00"/>
    <w:rsid w:val="00867529"/>
    <w:rsid w:val="008678E7"/>
    <w:rsid w:val="00867FA9"/>
    <w:rsid w:val="00871391"/>
    <w:rsid w:val="008769BC"/>
    <w:rsid w:val="00881B7E"/>
    <w:rsid w:val="00881D2A"/>
    <w:rsid w:val="00886057"/>
    <w:rsid w:val="00891A82"/>
    <w:rsid w:val="00891C91"/>
    <w:rsid w:val="008A0D22"/>
    <w:rsid w:val="008A4E3A"/>
    <w:rsid w:val="008A7539"/>
    <w:rsid w:val="008B426E"/>
    <w:rsid w:val="008C1B4C"/>
    <w:rsid w:val="008C62FE"/>
    <w:rsid w:val="008C7A3B"/>
    <w:rsid w:val="008D1FB9"/>
    <w:rsid w:val="008D5CC2"/>
    <w:rsid w:val="008E7807"/>
    <w:rsid w:val="008E7E28"/>
    <w:rsid w:val="008F7E38"/>
    <w:rsid w:val="00900023"/>
    <w:rsid w:val="00902ABB"/>
    <w:rsid w:val="00906B1F"/>
    <w:rsid w:val="00907025"/>
    <w:rsid w:val="009079D9"/>
    <w:rsid w:val="00910156"/>
    <w:rsid w:val="009172AE"/>
    <w:rsid w:val="009208D8"/>
    <w:rsid w:val="00924466"/>
    <w:rsid w:val="00930AB0"/>
    <w:rsid w:val="00932D89"/>
    <w:rsid w:val="009331F0"/>
    <w:rsid w:val="0093324E"/>
    <w:rsid w:val="00936749"/>
    <w:rsid w:val="0094670D"/>
    <w:rsid w:val="00947B4D"/>
    <w:rsid w:val="00950826"/>
    <w:rsid w:val="0096348D"/>
    <w:rsid w:val="0096630E"/>
    <w:rsid w:val="0096683F"/>
    <w:rsid w:val="009724F6"/>
    <w:rsid w:val="00973F21"/>
    <w:rsid w:val="00980D1E"/>
    <w:rsid w:val="0098226E"/>
    <w:rsid w:val="0098390C"/>
    <w:rsid w:val="00984E8C"/>
    <w:rsid w:val="00993B6A"/>
    <w:rsid w:val="009942BC"/>
    <w:rsid w:val="00996711"/>
    <w:rsid w:val="009A0991"/>
    <w:rsid w:val="009A3AE3"/>
    <w:rsid w:val="009A7A12"/>
    <w:rsid w:val="009A7C91"/>
    <w:rsid w:val="009B36B0"/>
    <w:rsid w:val="009C5A63"/>
    <w:rsid w:val="009C76ED"/>
    <w:rsid w:val="009D1238"/>
    <w:rsid w:val="009D20C4"/>
    <w:rsid w:val="009D5C92"/>
    <w:rsid w:val="009E4B96"/>
    <w:rsid w:val="009F17C9"/>
    <w:rsid w:val="009F1E4B"/>
    <w:rsid w:val="009F2D49"/>
    <w:rsid w:val="009F3EFB"/>
    <w:rsid w:val="00A02F96"/>
    <w:rsid w:val="00A076E3"/>
    <w:rsid w:val="00A122D7"/>
    <w:rsid w:val="00A16CE2"/>
    <w:rsid w:val="00A179A1"/>
    <w:rsid w:val="00A23D2F"/>
    <w:rsid w:val="00A3436A"/>
    <w:rsid w:val="00A37863"/>
    <w:rsid w:val="00A442F3"/>
    <w:rsid w:val="00A4465D"/>
    <w:rsid w:val="00A51AFE"/>
    <w:rsid w:val="00A51F3F"/>
    <w:rsid w:val="00A63C3C"/>
    <w:rsid w:val="00A6794B"/>
    <w:rsid w:val="00A75F12"/>
    <w:rsid w:val="00A816A6"/>
    <w:rsid w:val="00A81C8B"/>
    <w:rsid w:val="00A87952"/>
    <w:rsid w:val="00A92C59"/>
    <w:rsid w:val="00A94F3A"/>
    <w:rsid w:val="00A96236"/>
    <w:rsid w:val="00A97155"/>
    <w:rsid w:val="00AA7595"/>
    <w:rsid w:val="00AB0AC9"/>
    <w:rsid w:val="00AB36F7"/>
    <w:rsid w:val="00AC21BE"/>
    <w:rsid w:val="00AC23DE"/>
    <w:rsid w:val="00AC4C7A"/>
    <w:rsid w:val="00AC5DF2"/>
    <w:rsid w:val="00AD28A5"/>
    <w:rsid w:val="00AD2C22"/>
    <w:rsid w:val="00AF1FE1"/>
    <w:rsid w:val="00AF5AB5"/>
    <w:rsid w:val="00B03B75"/>
    <w:rsid w:val="00B12F17"/>
    <w:rsid w:val="00B1583A"/>
    <w:rsid w:val="00B16A5E"/>
    <w:rsid w:val="00B215D9"/>
    <w:rsid w:val="00B216AB"/>
    <w:rsid w:val="00B23C55"/>
    <w:rsid w:val="00B249E8"/>
    <w:rsid w:val="00B30445"/>
    <w:rsid w:val="00B30D1A"/>
    <w:rsid w:val="00B34F20"/>
    <w:rsid w:val="00B46A65"/>
    <w:rsid w:val="00B53CA5"/>
    <w:rsid w:val="00B57ACD"/>
    <w:rsid w:val="00B60DB3"/>
    <w:rsid w:val="00B663D0"/>
    <w:rsid w:val="00B66FC3"/>
    <w:rsid w:val="00B70540"/>
    <w:rsid w:val="00B734C3"/>
    <w:rsid w:val="00B75B02"/>
    <w:rsid w:val="00B77A0F"/>
    <w:rsid w:val="00B81177"/>
    <w:rsid w:val="00B83E78"/>
    <w:rsid w:val="00B9584F"/>
    <w:rsid w:val="00B9650A"/>
    <w:rsid w:val="00BA506B"/>
    <w:rsid w:val="00BB03D9"/>
    <w:rsid w:val="00BB487A"/>
    <w:rsid w:val="00BB667C"/>
    <w:rsid w:val="00BC4543"/>
    <w:rsid w:val="00BC6129"/>
    <w:rsid w:val="00BC745C"/>
    <w:rsid w:val="00BD4537"/>
    <w:rsid w:val="00BD66BF"/>
    <w:rsid w:val="00BD688C"/>
    <w:rsid w:val="00BE03BD"/>
    <w:rsid w:val="00BE066C"/>
    <w:rsid w:val="00BF1699"/>
    <w:rsid w:val="00BF3659"/>
    <w:rsid w:val="00C00364"/>
    <w:rsid w:val="00C00A8E"/>
    <w:rsid w:val="00C03259"/>
    <w:rsid w:val="00C24443"/>
    <w:rsid w:val="00C27AF9"/>
    <w:rsid w:val="00C30ADE"/>
    <w:rsid w:val="00C31E7D"/>
    <w:rsid w:val="00C320E9"/>
    <w:rsid w:val="00C406ED"/>
    <w:rsid w:val="00C44DE9"/>
    <w:rsid w:val="00C53AD0"/>
    <w:rsid w:val="00C56725"/>
    <w:rsid w:val="00C60B40"/>
    <w:rsid w:val="00C76BBC"/>
    <w:rsid w:val="00C83D97"/>
    <w:rsid w:val="00C903DE"/>
    <w:rsid w:val="00C93126"/>
    <w:rsid w:val="00C9710C"/>
    <w:rsid w:val="00CA1DD2"/>
    <w:rsid w:val="00CA30A6"/>
    <w:rsid w:val="00CA7A60"/>
    <w:rsid w:val="00CB52E7"/>
    <w:rsid w:val="00CB5849"/>
    <w:rsid w:val="00CB6776"/>
    <w:rsid w:val="00CB72BB"/>
    <w:rsid w:val="00CC1197"/>
    <w:rsid w:val="00CD0DA2"/>
    <w:rsid w:val="00CD24B3"/>
    <w:rsid w:val="00CD5C02"/>
    <w:rsid w:val="00CD6A11"/>
    <w:rsid w:val="00CD7421"/>
    <w:rsid w:val="00CE04CC"/>
    <w:rsid w:val="00CE4361"/>
    <w:rsid w:val="00CE7617"/>
    <w:rsid w:val="00CF14BD"/>
    <w:rsid w:val="00CF1D8F"/>
    <w:rsid w:val="00CF37C0"/>
    <w:rsid w:val="00CF7104"/>
    <w:rsid w:val="00CF7998"/>
    <w:rsid w:val="00D02AA6"/>
    <w:rsid w:val="00D10076"/>
    <w:rsid w:val="00D1431D"/>
    <w:rsid w:val="00D14B43"/>
    <w:rsid w:val="00D26CA4"/>
    <w:rsid w:val="00D30A37"/>
    <w:rsid w:val="00D34E8D"/>
    <w:rsid w:val="00D436D1"/>
    <w:rsid w:val="00D43BD8"/>
    <w:rsid w:val="00D45E8D"/>
    <w:rsid w:val="00D46149"/>
    <w:rsid w:val="00D53187"/>
    <w:rsid w:val="00D57D70"/>
    <w:rsid w:val="00D607F6"/>
    <w:rsid w:val="00D64586"/>
    <w:rsid w:val="00D651B6"/>
    <w:rsid w:val="00D657A5"/>
    <w:rsid w:val="00D65840"/>
    <w:rsid w:val="00D74953"/>
    <w:rsid w:val="00D76D68"/>
    <w:rsid w:val="00D81E23"/>
    <w:rsid w:val="00D854AB"/>
    <w:rsid w:val="00D92529"/>
    <w:rsid w:val="00D95E87"/>
    <w:rsid w:val="00D96022"/>
    <w:rsid w:val="00D962ED"/>
    <w:rsid w:val="00D96749"/>
    <w:rsid w:val="00DA4BAA"/>
    <w:rsid w:val="00DA4DBB"/>
    <w:rsid w:val="00DB09A4"/>
    <w:rsid w:val="00DC25B2"/>
    <w:rsid w:val="00DC75CE"/>
    <w:rsid w:val="00DF5D52"/>
    <w:rsid w:val="00E14873"/>
    <w:rsid w:val="00E15A78"/>
    <w:rsid w:val="00E25C04"/>
    <w:rsid w:val="00E368BA"/>
    <w:rsid w:val="00E36A1B"/>
    <w:rsid w:val="00E43197"/>
    <w:rsid w:val="00E5050F"/>
    <w:rsid w:val="00E539BC"/>
    <w:rsid w:val="00E555E7"/>
    <w:rsid w:val="00E56CE1"/>
    <w:rsid w:val="00E6461F"/>
    <w:rsid w:val="00E723D0"/>
    <w:rsid w:val="00E817E5"/>
    <w:rsid w:val="00E87DFB"/>
    <w:rsid w:val="00E94494"/>
    <w:rsid w:val="00E958DA"/>
    <w:rsid w:val="00EA0D87"/>
    <w:rsid w:val="00EA34A4"/>
    <w:rsid w:val="00EA43C2"/>
    <w:rsid w:val="00EA441A"/>
    <w:rsid w:val="00EA5B1A"/>
    <w:rsid w:val="00EA7235"/>
    <w:rsid w:val="00EA7694"/>
    <w:rsid w:val="00EB0545"/>
    <w:rsid w:val="00EB16AA"/>
    <w:rsid w:val="00EC0F1F"/>
    <w:rsid w:val="00EC173D"/>
    <w:rsid w:val="00EC68AE"/>
    <w:rsid w:val="00EC7F10"/>
    <w:rsid w:val="00ED118B"/>
    <w:rsid w:val="00ED586E"/>
    <w:rsid w:val="00EF258D"/>
    <w:rsid w:val="00EF286B"/>
    <w:rsid w:val="00F00F1F"/>
    <w:rsid w:val="00F015B1"/>
    <w:rsid w:val="00F04334"/>
    <w:rsid w:val="00F0572A"/>
    <w:rsid w:val="00F06479"/>
    <w:rsid w:val="00F076DA"/>
    <w:rsid w:val="00F104BD"/>
    <w:rsid w:val="00F10DFC"/>
    <w:rsid w:val="00F12337"/>
    <w:rsid w:val="00F14001"/>
    <w:rsid w:val="00F1436B"/>
    <w:rsid w:val="00F156A3"/>
    <w:rsid w:val="00F16D93"/>
    <w:rsid w:val="00F23BB8"/>
    <w:rsid w:val="00F2734A"/>
    <w:rsid w:val="00F36324"/>
    <w:rsid w:val="00F416E7"/>
    <w:rsid w:val="00F42842"/>
    <w:rsid w:val="00F42ABF"/>
    <w:rsid w:val="00F43C28"/>
    <w:rsid w:val="00F62C80"/>
    <w:rsid w:val="00F71FAB"/>
    <w:rsid w:val="00F749DB"/>
    <w:rsid w:val="00F77E25"/>
    <w:rsid w:val="00F801B9"/>
    <w:rsid w:val="00F844B6"/>
    <w:rsid w:val="00F85B78"/>
    <w:rsid w:val="00F86875"/>
    <w:rsid w:val="00F900BC"/>
    <w:rsid w:val="00F91226"/>
    <w:rsid w:val="00F92639"/>
    <w:rsid w:val="00F96900"/>
    <w:rsid w:val="00FA08B2"/>
    <w:rsid w:val="00FA52A6"/>
    <w:rsid w:val="00FB16E8"/>
    <w:rsid w:val="00FB47BE"/>
    <w:rsid w:val="00FC1CBC"/>
    <w:rsid w:val="00FC7C96"/>
    <w:rsid w:val="00FD2065"/>
    <w:rsid w:val="00FD34BC"/>
    <w:rsid w:val="00FD54F8"/>
    <w:rsid w:val="00FF0B30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A3ED9"/>
  <w15:docId w15:val="{1CECD6ED-AD0A-41DE-867F-08FC5C9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customStyle="1" w:styleId="tv213">
    <w:name w:val="tv213"/>
    <w:basedOn w:val="Normal"/>
    <w:rsid w:val="00F71FAB"/>
    <w:pPr>
      <w:spacing w:before="100" w:beforeAutospacing="1" w:after="100" w:afterAutospacing="1"/>
    </w:pPr>
  </w:style>
  <w:style w:type="paragraph" w:customStyle="1" w:styleId="Default">
    <w:name w:val="Default"/>
    <w:rsid w:val="0046246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C4C7A"/>
    <w:rPr>
      <w:i/>
      <w:iCs/>
    </w:rPr>
  </w:style>
  <w:style w:type="paragraph" w:customStyle="1" w:styleId="norm">
    <w:name w:val="norm"/>
    <w:basedOn w:val="Normal"/>
    <w:rsid w:val="00E15A78"/>
    <w:pPr>
      <w:spacing w:before="100" w:beforeAutospacing="1" w:after="100" w:afterAutospacing="1"/>
    </w:pPr>
  </w:style>
  <w:style w:type="character" w:customStyle="1" w:styleId="italics">
    <w:name w:val="italics"/>
    <w:basedOn w:val="DefaultParagraphFont"/>
    <w:rsid w:val="00E15A78"/>
  </w:style>
  <w:style w:type="paragraph" w:customStyle="1" w:styleId="labojumupamats">
    <w:name w:val="labojumu_pamats"/>
    <w:basedOn w:val="Normal"/>
    <w:rsid w:val="009D5C92"/>
    <w:pPr>
      <w:spacing w:before="100" w:beforeAutospacing="1" w:after="100" w:afterAutospacing="1"/>
    </w:pPr>
  </w:style>
  <w:style w:type="paragraph" w:customStyle="1" w:styleId="tvhtml">
    <w:name w:val="tv_html"/>
    <w:basedOn w:val="Normal"/>
    <w:rsid w:val="009D5C92"/>
    <w:pPr>
      <w:spacing w:before="100" w:beforeAutospacing="1" w:after="100" w:afterAutospacing="1"/>
    </w:pPr>
  </w:style>
  <w:style w:type="paragraph" w:customStyle="1" w:styleId="naislab">
    <w:name w:val="naislab"/>
    <w:basedOn w:val="Normal"/>
    <w:rsid w:val="00CE7617"/>
    <w:pPr>
      <w:suppressAutoHyphens/>
      <w:spacing w:before="63" w:after="63"/>
      <w:jc w:val="right"/>
    </w:pPr>
    <w:rPr>
      <w:color w:val="00000A"/>
    </w:rPr>
  </w:style>
  <w:style w:type="paragraph" w:customStyle="1" w:styleId="naiskr">
    <w:name w:val="naiskr"/>
    <w:basedOn w:val="Normal"/>
    <w:rsid w:val="00CE7617"/>
    <w:pPr>
      <w:suppressAutoHyphens/>
      <w:spacing w:before="75" w:after="75"/>
    </w:pPr>
    <w:rPr>
      <w:color w:val="00000A"/>
    </w:rPr>
  </w:style>
  <w:style w:type="paragraph" w:customStyle="1" w:styleId="CM4">
    <w:name w:val="CM4"/>
    <w:basedOn w:val="Normal"/>
    <w:next w:val="Normal"/>
    <w:rsid w:val="00881B7E"/>
    <w:pPr>
      <w:autoSpaceDE w:val="0"/>
      <w:autoSpaceDN w:val="0"/>
      <w:adjustRightInd w:val="0"/>
    </w:pPr>
    <w:rPr>
      <w:rFonts w:ascii="EUAlbertina" w:hAnsi="EUAlbertina"/>
      <w:lang w:bidi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42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298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742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42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4298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74298"/>
    <w:rPr>
      <w:vertAlign w:val="superscript"/>
    </w:rPr>
  </w:style>
  <w:style w:type="table" w:styleId="TableGrid">
    <w:name w:val="Table Grid"/>
    <w:basedOn w:val="TableNormal"/>
    <w:uiPriority w:val="39"/>
    <w:rsid w:val="00BD66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88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6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8268-FC70-4CB1-8C99-983E9ED7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Helēna Rimša</cp:lastModifiedBy>
  <cp:revision>11</cp:revision>
  <cp:lastPrinted>2016-04-15T08:44:00Z</cp:lastPrinted>
  <dcterms:created xsi:type="dcterms:W3CDTF">2021-09-15T13:41:00Z</dcterms:created>
  <dcterms:modified xsi:type="dcterms:W3CDTF">2021-11-11T12:39:00Z</dcterms:modified>
</cp:coreProperties>
</file>