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83E9" w14:textId="285C4849" w:rsidR="00E5323B" w:rsidRPr="00A465F4" w:rsidRDefault="00EC0D63" w:rsidP="007C1ADA">
      <w:pPr>
        <w:spacing w:after="0" w:line="240" w:lineRule="auto"/>
        <w:contextualSpacing/>
        <w:jc w:val="center"/>
        <w:rPr>
          <w:rFonts w:ascii="Times New Roman" w:eastAsia="Times New Roman" w:hAnsi="Times New Roman" w:cs="Times New Roman"/>
          <w:b/>
          <w:bCs/>
          <w:sz w:val="24"/>
          <w:szCs w:val="24"/>
          <w:lang w:eastAsia="lv-LV"/>
        </w:rPr>
      </w:pPr>
      <w:r w:rsidRPr="00A465F4">
        <w:rPr>
          <w:rFonts w:ascii="Times New Roman" w:eastAsia="Times New Roman" w:hAnsi="Times New Roman" w:cs="Times New Roman"/>
          <w:b/>
          <w:bCs/>
          <w:sz w:val="24"/>
          <w:szCs w:val="24"/>
          <w:lang w:eastAsia="lv-LV"/>
        </w:rPr>
        <w:t>Ministru kabineta noteikumu projekta “</w:t>
      </w:r>
      <w:r w:rsidR="006A122E" w:rsidRPr="00A465F4">
        <w:rPr>
          <w:rFonts w:ascii="Times New Roman" w:eastAsia="Times New Roman" w:hAnsi="Times New Roman" w:cs="Times New Roman"/>
          <w:b/>
          <w:bCs/>
          <w:sz w:val="24"/>
          <w:szCs w:val="24"/>
          <w:lang w:eastAsia="lv-LV"/>
        </w:rPr>
        <w:t>Noteikumi par transporta enerģijas kvalitātes prasībām, atbilstības novērtēšanu un tirgus uzraudzību</w:t>
      </w:r>
      <w:r w:rsidRPr="00A465F4">
        <w:rPr>
          <w:rFonts w:ascii="Times New Roman" w:eastAsia="Times New Roman" w:hAnsi="Times New Roman" w:cs="Times New Roman"/>
          <w:b/>
          <w:bCs/>
          <w:sz w:val="24"/>
          <w:szCs w:val="24"/>
          <w:lang w:eastAsia="lv-LV"/>
        </w:rPr>
        <w:t>” sākotnējās ietekmes novērtējuma ziņojums (anotācija)</w:t>
      </w:r>
    </w:p>
    <w:p w14:paraId="53D12D80" w14:textId="77777777" w:rsidR="00275CEC" w:rsidRPr="00A465F4" w:rsidRDefault="00275CEC" w:rsidP="007C1ADA">
      <w:pPr>
        <w:spacing w:after="0" w:line="240" w:lineRule="auto"/>
        <w:contextualSpacing/>
        <w:jc w:val="center"/>
        <w:rPr>
          <w:rFonts w:ascii="Times New Roman" w:eastAsia="Times New Roman" w:hAnsi="Times New Roman" w:cs="Times New Roman"/>
          <w:b/>
          <w:bCs/>
          <w:sz w:val="24"/>
          <w:szCs w:val="24"/>
          <w:lang w:eastAsia="lv-LV"/>
        </w:rPr>
      </w:pPr>
    </w:p>
    <w:tbl>
      <w:tblPr>
        <w:tblStyle w:val="TableGrid"/>
        <w:tblW w:w="5000" w:type="pct"/>
        <w:tblLook w:val="04A0" w:firstRow="1" w:lastRow="0" w:firstColumn="1" w:lastColumn="0" w:noHBand="0" w:noVBand="1"/>
      </w:tblPr>
      <w:tblGrid>
        <w:gridCol w:w="2238"/>
        <w:gridCol w:w="6823"/>
      </w:tblGrid>
      <w:tr w:rsidR="002A1CE9" w:rsidRPr="009F530A" w14:paraId="6401D0E0" w14:textId="77777777" w:rsidTr="00A465F4">
        <w:tc>
          <w:tcPr>
            <w:tcW w:w="0" w:type="auto"/>
            <w:gridSpan w:val="2"/>
            <w:hideMark/>
          </w:tcPr>
          <w:p w14:paraId="44574BC0" w14:textId="77777777" w:rsidR="00655F2C" w:rsidRPr="009F530A" w:rsidRDefault="00EC0D63" w:rsidP="00A465F4">
            <w:pPr>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Tiesību akta projekta anotācijas kopsavilkums</w:t>
            </w:r>
          </w:p>
        </w:tc>
      </w:tr>
      <w:tr w:rsidR="002A1CE9" w:rsidRPr="009F530A" w14:paraId="0FCFD487" w14:textId="77777777" w:rsidTr="00A465F4">
        <w:tc>
          <w:tcPr>
            <w:tcW w:w="1223" w:type="pct"/>
            <w:hideMark/>
          </w:tcPr>
          <w:p w14:paraId="34B71032" w14:textId="1E18FB77" w:rsidR="001B3673" w:rsidRPr="009F530A" w:rsidRDefault="00EC0D63" w:rsidP="00A465F4">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Mērķis, risinājums un projekta spēkā stāšanās laiks</w:t>
            </w:r>
          </w:p>
        </w:tc>
        <w:tc>
          <w:tcPr>
            <w:tcW w:w="3728" w:type="pct"/>
            <w:hideMark/>
          </w:tcPr>
          <w:p w14:paraId="27CF8FFE" w14:textId="2B5A95E0" w:rsidR="006A122E" w:rsidRPr="009F530A" w:rsidRDefault="00EC0D63" w:rsidP="00A465F4">
            <w:pPr>
              <w:jc w:val="both"/>
              <w:rPr>
                <w:rFonts w:ascii="Times New Roman" w:hAnsi="Times New Roman" w:cs="Times New Roman"/>
                <w:sz w:val="24"/>
                <w:szCs w:val="24"/>
              </w:rPr>
            </w:pPr>
            <w:bookmarkStart w:id="0" w:name="_Hlk518645482"/>
            <w:r w:rsidRPr="009F530A">
              <w:rPr>
                <w:rFonts w:ascii="Times New Roman" w:hAnsi="Times New Roman" w:cs="Times New Roman"/>
                <w:sz w:val="24"/>
                <w:szCs w:val="24"/>
              </w:rPr>
              <w:t>Ministru kabineta noteikumu projekts “</w:t>
            </w:r>
            <w:r w:rsidR="006A122E" w:rsidRPr="009F530A">
              <w:rPr>
                <w:rFonts w:ascii="Times New Roman" w:hAnsi="Times New Roman" w:cs="Times New Roman"/>
                <w:sz w:val="24"/>
                <w:szCs w:val="24"/>
              </w:rPr>
              <w:t>Noteikumi par transporta enerģijas kvalitātes prasībām, atbilstības novērtēšanu un tirgus uzraudzību</w:t>
            </w:r>
            <w:r w:rsidR="00EF6506">
              <w:rPr>
                <w:rFonts w:ascii="Times New Roman" w:hAnsi="Times New Roman" w:cs="Times New Roman"/>
                <w:sz w:val="24"/>
                <w:szCs w:val="24"/>
              </w:rPr>
              <w:t>”</w:t>
            </w:r>
            <w:r w:rsidRPr="009F530A">
              <w:rPr>
                <w:rFonts w:ascii="Times New Roman" w:hAnsi="Times New Roman" w:cs="Times New Roman"/>
                <w:sz w:val="24"/>
                <w:szCs w:val="24"/>
              </w:rPr>
              <w:t xml:space="preserve"> (turpmāk – Noteikumu projekts) izstrādāts, lai vienā normatīvajā aktā apvienotu</w:t>
            </w:r>
            <w:r w:rsidR="001755D5" w:rsidRPr="009F530A">
              <w:rPr>
                <w:rFonts w:ascii="Times New Roman" w:hAnsi="Times New Roman" w:cs="Times New Roman"/>
                <w:sz w:val="24"/>
                <w:szCs w:val="24"/>
              </w:rPr>
              <w:t xml:space="preserve"> un aktualizētu</w:t>
            </w:r>
            <w:r w:rsidRPr="009F530A">
              <w:rPr>
                <w:rFonts w:ascii="Times New Roman" w:hAnsi="Times New Roman" w:cs="Times New Roman"/>
                <w:sz w:val="24"/>
                <w:szCs w:val="24"/>
              </w:rPr>
              <w:t xml:space="preserve"> iepriekš dažādos Ministru kabineta noteikumos ietvertās normas</w:t>
            </w:r>
            <w:r w:rsidRPr="009F530A">
              <w:rPr>
                <w:rStyle w:val="FootnoteReference"/>
                <w:rFonts w:ascii="Times New Roman" w:hAnsi="Times New Roman" w:cs="Times New Roman"/>
                <w:sz w:val="24"/>
                <w:szCs w:val="24"/>
              </w:rPr>
              <w:footnoteReference w:id="1"/>
            </w:r>
            <w:r w:rsidRPr="009F530A">
              <w:rPr>
                <w:rFonts w:ascii="Times New Roman" w:hAnsi="Times New Roman" w:cs="Times New Roman"/>
                <w:sz w:val="24"/>
                <w:szCs w:val="24"/>
              </w:rPr>
              <w:t>, kas pēc būtības apsver savstarpēji saistītus jautājumus</w:t>
            </w:r>
            <w:r w:rsidR="00D91A29" w:rsidRPr="009F530A">
              <w:rPr>
                <w:rFonts w:ascii="Times New Roman" w:hAnsi="Times New Roman" w:cs="Times New Roman"/>
                <w:sz w:val="24"/>
                <w:szCs w:val="24"/>
              </w:rPr>
              <w:t xml:space="preserve"> transporta enerģijas kvalitātes jomā un atbilstības</w:t>
            </w:r>
            <w:r w:rsidR="006A122E" w:rsidRPr="009F530A">
              <w:rPr>
                <w:rFonts w:ascii="Times New Roman" w:hAnsi="Times New Roman" w:cs="Times New Roman"/>
                <w:sz w:val="24"/>
                <w:szCs w:val="24"/>
              </w:rPr>
              <w:t xml:space="preserve"> minētajām kvalitātes prasībām novērtēšanas un tirgus uzraudzības jomā, kā arī attiecībā uz patērētājiem sniedzamo informāciju par degvielu</w:t>
            </w:r>
            <w:r w:rsidRPr="009F530A">
              <w:rPr>
                <w:rFonts w:ascii="Times New Roman" w:hAnsi="Times New Roman" w:cs="Times New Roman"/>
                <w:sz w:val="24"/>
                <w:szCs w:val="24"/>
              </w:rPr>
              <w:t>.</w:t>
            </w:r>
          </w:p>
          <w:p w14:paraId="47D7C7CE" w14:textId="1EC836AB" w:rsidR="001B3673" w:rsidRPr="009F530A" w:rsidRDefault="00EC0D63" w:rsidP="00A465F4">
            <w:pPr>
              <w:jc w:val="both"/>
              <w:rPr>
                <w:rFonts w:ascii="Times New Roman" w:hAnsi="Times New Roman" w:cs="Times New Roman"/>
                <w:sz w:val="24"/>
                <w:szCs w:val="24"/>
              </w:rPr>
            </w:pPr>
            <w:r w:rsidRPr="009F530A">
              <w:rPr>
                <w:rFonts w:ascii="Times New Roman" w:hAnsi="Times New Roman" w:cs="Times New Roman"/>
                <w:sz w:val="24"/>
                <w:szCs w:val="24"/>
              </w:rPr>
              <w:t>Noteikumu projektā ietvertās normas izriet no likum</w:t>
            </w:r>
            <w:r w:rsidR="00640AEC">
              <w:rPr>
                <w:rFonts w:ascii="Times New Roman" w:hAnsi="Times New Roman" w:cs="Times New Roman"/>
                <w:sz w:val="24"/>
                <w:szCs w:val="24"/>
              </w:rPr>
              <w:t xml:space="preserve">a </w:t>
            </w:r>
            <w:r w:rsidRPr="009F530A">
              <w:rPr>
                <w:rFonts w:ascii="Times New Roman" w:hAnsi="Times New Roman" w:cs="Times New Roman"/>
                <w:sz w:val="24"/>
                <w:szCs w:val="24"/>
              </w:rPr>
              <w:t>“Transporta enerģijas likums”</w:t>
            </w:r>
            <w:r w:rsidR="002C0442">
              <w:rPr>
                <w:rStyle w:val="FootnoteReference"/>
                <w:rFonts w:ascii="Times New Roman" w:hAnsi="Times New Roman" w:cs="Times New Roman"/>
                <w:sz w:val="24"/>
                <w:szCs w:val="24"/>
              </w:rPr>
              <w:footnoteReference w:id="2"/>
            </w:r>
            <w:r w:rsidRPr="009F530A">
              <w:rPr>
                <w:rFonts w:ascii="Times New Roman" w:hAnsi="Times New Roman" w:cs="Times New Roman"/>
                <w:sz w:val="24"/>
                <w:szCs w:val="24"/>
              </w:rPr>
              <w:t xml:space="preserve">  (turpmāk – Likums). </w:t>
            </w:r>
            <w:bookmarkEnd w:id="0"/>
          </w:p>
          <w:p w14:paraId="6F043771" w14:textId="554A8D07" w:rsidR="006A122E" w:rsidRPr="009F530A" w:rsidRDefault="00776DC1" w:rsidP="00A465F4">
            <w:pPr>
              <w:jc w:val="both"/>
              <w:rPr>
                <w:rFonts w:ascii="Times New Roman" w:hAnsi="Times New Roman" w:cs="Times New Roman"/>
                <w:sz w:val="24"/>
                <w:szCs w:val="24"/>
              </w:rPr>
            </w:pPr>
            <w:r>
              <w:rPr>
                <w:rFonts w:ascii="Times New Roman" w:hAnsi="Times New Roman" w:cs="Times New Roman"/>
                <w:sz w:val="24"/>
                <w:szCs w:val="24"/>
              </w:rPr>
              <w:t>Noteikumu projekts tiks virzīts apstiprināšanai Ministru kabinetā pēc Likum</w:t>
            </w:r>
            <w:r w:rsidR="002C0442">
              <w:rPr>
                <w:rFonts w:ascii="Times New Roman" w:hAnsi="Times New Roman" w:cs="Times New Roman"/>
                <w:sz w:val="24"/>
                <w:szCs w:val="24"/>
              </w:rPr>
              <w:t xml:space="preserve">a </w:t>
            </w:r>
            <w:r>
              <w:rPr>
                <w:rFonts w:ascii="Times New Roman" w:hAnsi="Times New Roman" w:cs="Times New Roman"/>
                <w:sz w:val="24"/>
                <w:szCs w:val="24"/>
              </w:rPr>
              <w:t>spēkā stāšanās.</w:t>
            </w:r>
          </w:p>
        </w:tc>
      </w:tr>
    </w:tbl>
    <w:p w14:paraId="3318F6DE" w14:textId="77777777" w:rsidR="00E5323B" w:rsidRPr="00A465F4" w:rsidRDefault="00EC0D63"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43"/>
        <w:gridCol w:w="2106"/>
        <w:gridCol w:w="6412"/>
      </w:tblGrid>
      <w:tr w:rsidR="002A1CE9" w:rsidRPr="009F530A" w14:paraId="65A625F5" w14:textId="77777777" w:rsidTr="00A465F4">
        <w:tc>
          <w:tcPr>
            <w:tcW w:w="0" w:type="auto"/>
            <w:gridSpan w:val="3"/>
            <w:hideMark/>
          </w:tcPr>
          <w:p w14:paraId="5FC3627C"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 Tiesību akta projekta izstrādes nepieciešamība</w:t>
            </w:r>
          </w:p>
        </w:tc>
      </w:tr>
      <w:tr w:rsidR="002A1CE9" w:rsidRPr="009F530A" w14:paraId="7FB6F25B" w14:textId="77777777" w:rsidTr="00A465F4">
        <w:tc>
          <w:tcPr>
            <w:tcW w:w="296" w:type="pct"/>
            <w:hideMark/>
          </w:tcPr>
          <w:p w14:paraId="320B0BF6"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146" w:type="pct"/>
            <w:hideMark/>
          </w:tcPr>
          <w:p w14:paraId="6CD69BAE"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Pamatojums</w:t>
            </w:r>
          </w:p>
        </w:tc>
        <w:tc>
          <w:tcPr>
            <w:tcW w:w="3491" w:type="pct"/>
            <w:hideMark/>
          </w:tcPr>
          <w:p w14:paraId="17989E20" w14:textId="3646893F" w:rsidR="00A53F92" w:rsidRPr="009F530A" w:rsidRDefault="00EC0D63" w:rsidP="00A53F92">
            <w:pPr>
              <w:contextualSpacing/>
              <w:jc w:val="both"/>
              <w:rPr>
                <w:rFonts w:ascii="Times New Roman" w:hAnsi="Times New Roman" w:cs="Times New Roman"/>
                <w:sz w:val="24"/>
                <w:szCs w:val="24"/>
              </w:rPr>
            </w:pPr>
            <w:r w:rsidRPr="009F530A">
              <w:rPr>
                <w:rFonts w:ascii="Times New Roman" w:hAnsi="Times New Roman" w:cs="Times New Roman"/>
                <w:sz w:val="24"/>
                <w:szCs w:val="24"/>
              </w:rPr>
              <w:t>Likum</w:t>
            </w:r>
            <w:r w:rsidR="002C0442">
              <w:rPr>
                <w:rFonts w:ascii="Times New Roman" w:hAnsi="Times New Roman" w:cs="Times New Roman"/>
                <w:sz w:val="24"/>
                <w:szCs w:val="24"/>
              </w:rPr>
              <w:t>a</w:t>
            </w:r>
            <w:r w:rsidRPr="009F530A">
              <w:rPr>
                <w:rFonts w:ascii="Times New Roman" w:hAnsi="Times New Roman" w:cs="Times New Roman"/>
                <w:sz w:val="24"/>
                <w:szCs w:val="24"/>
              </w:rPr>
              <w:t xml:space="preserve"> </w:t>
            </w:r>
            <w:r w:rsidR="00A53F92" w:rsidRPr="009F530A">
              <w:rPr>
                <w:rFonts w:ascii="Times New Roman" w:hAnsi="Times New Roman" w:cs="Times New Roman"/>
                <w:sz w:val="24"/>
                <w:szCs w:val="24"/>
              </w:rPr>
              <w:t xml:space="preserve">4. panta astoto daļa, 7. panta septīto daļa, 8. panta </w:t>
            </w:r>
            <w:r w:rsidR="00284A14">
              <w:rPr>
                <w:rFonts w:ascii="Times New Roman" w:hAnsi="Times New Roman" w:cs="Times New Roman"/>
                <w:sz w:val="24"/>
                <w:szCs w:val="24"/>
              </w:rPr>
              <w:t xml:space="preserve">devīto </w:t>
            </w:r>
            <w:r w:rsidR="00A53F92" w:rsidRPr="009F530A">
              <w:rPr>
                <w:rFonts w:ascii="Times New Roman" w:hAnsi="Times New Roman" w:cs="Times New Roman"/>
                <w:sz w:val="24"/>
                <w:szCs w:val="24"/>
              </w:rPr>
              <w:t xml:space="preserve">daļa un 12. panta ceturtā daļa. </w:t>
            </w:r>
          </w:p>
          <w:p w14:paraId="1DFDAD1D" w14:textId="77777777" w:rsidR="00A53F92" w:rsidRPr="009F530A" w:rsidRDefault="00A53F92" w:rsidP="00A53F92">
            <w:pPr>
              <w:contextualSpacing/>
              <w:jc w:val="both"/>
              <w:rPr>
                <w:rFonts w:ascii="Times New Roman" w:hAnsi="Times New Roman" w:cs="Times New Roman"/>
                <w:sz w:val="24"/>
                <w:szCs w:val="24"/>
              </w:rPr>
            </w:pPr>
          </w:p>
          <w:p w14:paraId="738E7576" w14:textId="32C51122" w:rsidR="00B46C29" w:rsidRPr="009F530A" w:rsidRDefault="00EC0D63"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Ministru kabineta 2017.gada 26.septembra sēdes protokollēmuma Nr.48 56.§ 3.1.</w:t>
            </w:r>
            <w:r w:rsidR="004674AF" w:rsidRPr="009F530A">
              <w:rPr>
                <w:rFonts w:ascii="Times New Roman" w:hAnsi="Times New Roman" w:cs="Times New Roman"/>
                <w:sz w:val="24"/>
                <w:szCs w:val="24"/>
              </w:rPr>
              <w:t>apakš</w:t>
            </w:r>
            <w:r w:rsidRPr="009F530A">
              <w:rPr>
                <w:rFonts w:ascii="Times New Roman" w:hAnsi="Times New Roman" w:cs="Times New Roman"/>
                <w:sz w:val="24"/>
                <w:szCs w:val="24"/>
              </w:rPr>
              <w:t>punkts.</w:t>
            </w:r>
          </w:p>
          <w:p w14:paraId="3B3D2282" w14:textId="77777777" w:rsidR="00B46C29" w:rsidRPr="009F530A" w:rsidRDefault="00B46C29" w:rsidP="007C1ADA">
            <w:pPr>
              <w:contextualSpacing/>
              <w:jc w:val="both"/>
              <w:rPr>
                <w:rFonts w:ascii="Times New Roman" w:hAnsi="Times New Roman" w:cs="Times New Roman"/>
                <w:sz w:val="24"/>
                <w:szCs w:val="24"/>
              </w:rPr>
            </w:pPr>
          </w:p>
          <w:p w14:paraId="3361ABC5" w14:textId="49FF9020" w:rsidR="00B46C29" w:rsidRPr="009F530A" w:rsidRDefault="00EC0D63"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Ministru kabineta 2018.gada 27.marta sēdes protokollēmuma Nr.17 46.§ 3.1.</w:t>
            </w:r>
            <w:r w:rsidR="004674AF" w:rsidRPr="009F530A">
              <w:rPr>
                <w:rFonts w:ascii="Times New Roman" w:hAnsi="Times New Roman" w:cs="Times New Roman"/>
                <w:sz w:val="24"/>
                <w:szCs w:val="24"/>
              </w:rPr>
              <w:t>apakš</w:t>
            </w:r>
            <w:r w:rsidRPr="009F530A">
              <w:rPr>
                <w:rFonts w:ascii="Times New Roman" w:hAnsi="Times New Roman" w:cs="Times New Roman"/>
                <w:sz w:val="24"/>
                <w:szCs w:val="24"/>
              </w:rPr>
              <w:t>punkts.</w:t>
            </w:r>
          </w:p>
          <w:p w14:paraId="4507768A" w14:textId="77777777" w:rsidR="00B46C29" w:rsidRPr="009F530A" w:rsidRDefault="00B46C29" w:rsidP="007C1ADA">
            <w:pPr>
              <w:contextualSpacing/>
              <w:jc w:val="both"/>
              <w:rPr>
                <w:rFonts w:ascii="Times New Roman" w:hAnsi="Times New Roman" w:cs="Times New Roman"/>
                <w:sz w:val="24"/>
                <w:szCs w:val="24"/>
              </w:rPr>
            </w:pPr>
          </w:p>
          <w:p w14:paraId="4A5B5B08" w14:textId="30569E46" w:rsidR="00B46C29" w:rsidRPr="009F530A" w:rsidRDefault="00EC0D63"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Ministru kabineta 2018.gada 16.janvāra sēdes protokollēmuma Nr.3 26.§ 4. un 5.punkts.</w:t>
            </w:r>
          </w:p>
          <w:p w14:paraId="0602BB1A" w14:textId="31D0757D" w:rsidR="00EC0D63" w:rsidRPr="009F530A" w:rsidRDefault="00EC0D63" w:rsidP="007C1ADA">
            <w:pPr>
              <w:contextualSpacing/>
              <w:jc w:val="both"/>
              <w:rPr>
                <w:rFonts w:ascii="Times New Roman" w:hAnsi="Times New Roman" w:cs="Times New Roman"/>
                <w:sz w:val="24"/>
                <w:szCs w:val="24"/>
              </w:rPr>
            </w:pPr>
          </w:p>
          <w:p w14:paraId="0DA4A0BC" w14:textId="3C14B48F" w:rsidR="00D91D02" w:rsidRPr="009F530A" w:rsidRDefault="00EC0D63" w:rsidP="007C1ADA">
            <w:pPr>
              <w:contextualSpacing/>
              <w:jc w:val="both"/>
              <w:rPr>
                <w:rFonts w:ascii="Times New Roman" w:eastAsia="Times New Roman" w:hAnsi="Times New Roman" w:cs="Times New Roman"/>
                <w:sz w:val="24"/>
                <w:szCs w:val="24"/>
                <w:lang w:eastAsia="lv-LV"/>
              </w:rPr>
            </w:pPr>
            <w:r w:rsidRPr="009F530A">
              <w:rPr>
                <w:rFonts w:ascii="Times New Roman" w:hAnsi="Times New Roman" w:cs="Times New Roman"/>
                <w:sz w:val="24"/>
                <w:szCs w:val="24"/>
              </w:rPr>
              <w:t>Ministru kabineta 2018.gada 18.decembra sēdes protokollēmuma Nr.60 102.§ 3. punkts.</w:t>
            </w:r>
            <w:r w:rsidR="00666C6E" w:rsidRPr="009F530A">
              <w:rPr>
                <w:rFonts w:ascii="Times New Roman" w:hAnsi="Times New Roman" w:cs="Times New Roman"/>
                <w:sz w:val="24"/>
                <w:szCs w:val="24"/>
              </w:rPr>
              <w:t xml:space="preserve"> </w:t>
            </w:r>
          </w:p>
        </w:tc>
      </w:tr>
      <w:tr w:rsidR="002A1CE9" w:rsidRPr="009F530A" w14:paraId="416657D3" w14:textId="77777777" w:rsidTr="00A465F4">
        <w:tc>
          <w:tcPr>
            <w:tcW w:w="296" w:type="pct"/>
            <w:hideMark/>
          </w:tcPr>
          <w:p w14:paraId="287C97C1"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146" w:type="pct"/>
            <w:hideMark/>
          </w:tcPr>
          <w:p w14:paraId="4ED682FB"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491" w:type="pct"/>
          </w:tcPr>
          <w:p w14:paraId="780BF35D" w14:textId="0313A36D" w:rsidR="00BD017D" w:rsidRPr="009F530A" w:rsidRDefault="00EC0D63"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Likum</w:t>
            </w:r>
            <w:r w:rsidR="009D06D7">
              <w:rPr>
                <w:rFonts w:ascii="Times New Roman" w:eastAsia="Times New Roman" w:hAnsi="Times New Roman" w:cs="Times New Roman"/>
                <w:iCs/>
                <w:sz w:val="24"/>
                <w:szCs w:val="24"/>
                <w:lang w:eastAsia="lv-LV"/>
              </w:rPr>
              <w:t xml:space="preserve">ā </w:t>
            </w:r>
            <w:r w:rsidRPr="009F530A">
              <w:rPr>
                <w:rFonts w:ascii="Times New Roman" w:eastAsia="Times New Roman" w:hAnsi="Times New Roman" w:cs="Times New Roman"/>
                <w:iCs/>
                <w:sz w:val="24"/>
                <w:szCs w:val="24"/>
                <w:lang w:eastAsia="lv-LV"/>
              </w:rPr>
              <w:t xml:space="preserve">ir iekļauts deleģējums Ministru kabinetam izstrādāt noteikumu projektu par transportā izmantojamās enerģijas kvalitātes prasībām, </w:t>
            </w:r>
            <w:r w:rsidR="00A14BB9" w:rsidRPr="009F530A">
              <w:rPr>
                <w:rFonts w:ascii="Times New Roman" w:eastAsia="Times New Roman" w:hAnsi="Times New Roman" w:cs="Times New Roman"/>
                <w:iCs/>
                <w:sz w:val="24"/>
                <w:szCs w:val="24"/>
                <w:lang w:eastAsia="lv-LV"/>
              </w:rPr>
              <w:t xml:space="preserve">atbilstības kvalitātes prasībām novērtēšanu un </w:t>
            </w:r>
            <w:r w:rsidRPr="009F530A">
              <w:rPr>
                <w:rFonts w:ascii="Times New Roman" w:eastAsia="Times New Roman" w:hAnsi="Times New Roman" w:cs="Times New Roman"/>
                <w:iCs/>
                <w:sz w:val="24"/>
                <w:szCs w:val="24"/>
                <w:lang w:eastAsia="lv-LV"/>
              </w:rPr>
              <w:t xml:space="preserve">transporta enerģijas tirgus uzraudzību, kurā ietvertas arī </w:t>
            </w:r>
            <w:r w:rsidRPr="009F530A">
              <w:rPr>
                <w:rFonts w:ascii="Times New Roman" w:hAnsi="Times New Roman" w:cs="Times New Roman"/>
                <w:sz w:val="24"/>
                <w:szCs w:val="24"/>
              </w:rPr>
              <w:t>Ministru kabineta 2000.gada 26.septembra noteikumu Nr.332 “Noteikumi par benzīna un dīzeļdegvielas atbilstības novērtēšanu” (turpmāk – Noteikumi Nr.332) un Ministru kabineta 2005.gada 18.oktobra Nr.772 “Noteikumi par biodegvielas kvalitātes prasībām, atbilstības novērtēšanu, tirgus uzraudzību un patērētāju informēšanas kārtību” (turpmāk – Noteikumi Nr.772) prasības</w:t>
            </w:r>
            <w:r w:rsidRPr="009F530A">
              <w:rPr>
                <w:rFonts w:ascii="Times New Roman" w:eastAsia="Times New Roman" w:hAnsi="Times New Roman" w:cs="Times New Roman"/>
                <w:iCs/>
                <w:sz w:val="24"/>
                <w:szCs w:val="24"/>
                <w:lang w:eastAsia="lv-LV"/>
              </w:rPr>
              <w:t xml:space="preserve">. </w:t>
            </w:r>
            <w:r w:rsidRPr="009F530A">
              <w:rPr>
                <w:rFonts w:ascii="Times New Roman" w:hAnsi="Times New Roman" w:cs="Times New Roman"/>
                <w:sz w:val="24"/>
                <w:szCs w:val="24"/>
              </w:rPr>
              <w:t xml:space="preserve">Gan Noteikumos Nr.332, gan </w:t>
            </w:r>
            <w:r w:rsidRPr="009F530A">
              <w:rPr>
                <w:rFonts w:ascii="Times New Roman" w:hAnsi="Times New Roman" w:cs="Times New Roman"/>
                <w:sz w:val="24"/>
                <w:szCs w:val="24"/>
              </w:rPr>
              <w:lastRenderedPageBreak/>
              <w:t xml:space="preserve">Noteikumos Nr.772 esošo regulējumu par savstarpēji saistītajiem jautājumiem ir nepieciešams apvienot, kas </w:t>
            </w:r>
            <w:r w:rsidR="008A6AF7" w:rsidRPr="009F530A">
              <w:rPr>
                <w:rFonts w:ascii="Times New Roman" w:hAnsi="Times New Roman" w:cs="Times New Roman"/>
                <w:sz w:val="24"/>
                <w:szCs w:val="24"/>
              </w:rPr>
              <w:t>padarīs vienkāršāku</w:t>
            </w:r>
            <w:r w:rsidRPr="009F530A">
              <w:rPr>
                <w:rFonts w:ascii="Times New Roman" w:hAnsi="Times New Roman" w:cs="Times New Roman"/>
                <w:sz w:val="24"/>
                <w:szCs w:val="24"/>
              </w:rPr>
              <w:t xml:space="preserve"> orientēšanos tiesiskajā regulējumā un mazin</w:t>
            </w:r>
            <w:r w:rsidR="00AE70EE" w:rsidRPr="009F530A">
              <w:rPr>
                <w:rFonts w:ascii="Times New Roman" w:hAnsi="Times New Roman" w:cs="Times New Roman"/>
                <w:sz w:val="24"/>
                <w:szCs w:val="24"/>
              </w:rPr>
              <w:t>ās</w:t>
            </w:r>
            <w:r w:rsidRPr="009F530A">
              <w:rPr>
                <w:rFonts w:ascii="Times New Roman" w:hAnsi="Times New Roman" w:cs="Times New Roman"/>
                <w:sz w:val="24"/>
                <w:szCs w:val="24"/>
              </w:rPr>
              <w:t xml:space="preserve"> tiesiskā regulējuma pretrunu risku. </w:t>
            </w:r>
            <w:r w:rsidRPr="009F530A">
              <w:rPr>
                <w:rFonts w:ascii="Times New Roman" w:eastAsia="Times New Roman" w:hAnsi="Times New Roman" w:cs="Times New Roman"/>
                <w:iCs/>
                <w:sz w:val="24"/>
                <w:szCs w:val="24"/>
                <w:lang w:eastAsia="lv-LV"/>
              </w:rPr>
              <w:t xml:space="preserve">Šis noteikumu projekts nosaka arī </w:t>
            </w:r>
            <w:r w:rsidR="00EF6506">
              <w:rPr>
                <w:rFonts w:ascii="Times New Roman" w:eastAsia="Times New Roman" w:hAnsi="Times New Roman" w:cs="Times New Roman"/>
                <w:iCs/>
                <w:sz w:val="24"/>
                <w:szCs w:val="24"/>
                <w:lang w:eastAsia="lv-LV"/>
              </w:rPr>
              <w:t>atbilstības novērtēšanas un detalizētas degvielas tirgus uzraudzības nosacījumus un darbības ar kvalitātes prasībām neatbilstošu transporta enerģiju</w:t>
            </w:r>
            <w:r w:rsidRPr="009F530A">
              <w:rPr>
                <w:rFonts w:ascii="Times New Roman" w:eastAsia="Times New Roman" w:hAnsi="Times New Roman" w:cs="Times New Roman"/>
                <w:iCs/>
                <w:sz w:val="24"/>
                <w:szCs w:val="24"/>
                <w:lang w:eastAsia="lv-LV"/>
              </w:rPr>
              <w:t xml:space="preserve">. </w:t>
            </w:r>
          </w:p>
          <w:p w14:paraId="63AD634F" w14:textId="77777777" w:rsidR="00BD017D" w:rsidRPr="009F530A" w:rsidRDefault="00BD017D" w:rsidP="007C1ADA">
            <w:pPr>
              <w:contextualSpacing/>
              <w:jc w:val="both"/>
              <w:rPr>
                <w:rFonts w:ascii="Times New Roman" w:hAnsi="Times New Roman" w:cs="Times New Roman"/>
                <w:sz w:val="24"/>
                <w:szCs w:val="24"/>
              </w:rPr>
            </w:pPr>
          </w:p>
          <w:p w14:paraId="48DA8DA8" w14:textId="60D9992C" w:rsidR="00172558" w:rsidRPr="009F530A" w:rsidRDefault="009D06D7" w:rsidP="007C1ADA">
            <w:pPr>
              <w:contextualSpacing/>
              <w:jc w:val="both"/>
              <w:rPr>
                <w:rFonts w:ascii="Times New Roman" w:hAnsi="Times New Roman" w:cs="Times New Roman"/>
                <w:sz w:val="24"/>
                <w:szCs w:val="24"/>
              </w:rPr>
            </w:pPr>
            <w:r>
              <w:rPr>
                <w:rFonts w:ascii="Times New Roman" w:hAnsi="Times New Roman" w:cs="Times New Roman"/>
                <w:sz w:val="24"/>
                <w:szCs w:val="24"/>
              </w:rPr>
              <w:t>Ministru kabineta noteikumu līmenī ir nepieciešams:</w:t>
            </w:r>
          </w:p>
          <w:p w14:paraId="557DC6D3" w14:textId="3152B1CC" w:rsidR="00172558" w:rsidRDefault="00A14BB9"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1</w:t>
            </w:r>
            <w:r w:rsidR="00EC0D63" w:rsidRPr="009F530A">
              <w:rPr>
                <w:rFonts w:ascii="Times New Roman" w:hAnsi="Times New Roman" w:cs="Times New Roman"/>
                <w:sz w:val="24"/>
                <w:szCs w:val="24"/>
              </w:rPr>
              <w:t xml:space="preserve">) noteikt kvalitātes prasības Latvijas tirgū piedāvātajiem transporta enerģijas veidiem, ko izmanto </w:t>
            </w:r>
            <w:r w:rsidRPr="009F530A">
              <w:rPr>
                <w:rFonts w:ascii="Times New Roman" w:hAnsi="Times New Roman" w:cs="Times New Roman"/>
                <w:sz w:val="24"/>
                <w:szCs w:val="24"/>
              </w:rPr>
              <w:t xml:space="preserve">likumprojektā noteiktajos transportlīdzekļos un </w:t>
            </w:r>
            <w:r w:rsidR="00EC0D63" w:rsidRPr="009F530A">
              <w:rPr>
                <w:rFonts w:ascii="Times New Roman" w:hAnsi="Times New Roman" w:cs="Times New Roman"/>
                <w:sz w:val="24"/>
                <w:szCs w:val="24"/>
              </w:rPr>
              <w:t>autoceļiem neparedzēt</w:t>
            </w:r>
            <w:r w:rsidRPr="009F530A">
              <w:rPr>
                <w:rFonts w:ascii="Times New Roman" w:hAnsi="Times New Roman" w:cs="Times New Roman"/>
                <w:sz w:val="24"/>
                <w:szCs w:val="24"/>
              </w:rPr>
              <w:t>ajā</w:t>
            </w:r>
            <w:r w:rsidR="00EC0D63" w:rsidRPr="009F530A">
              <w:rPr>
                <w:rFonts w:ascii="Times New Roman" w:hAnsi="Times New Roman" w:cs="Times New Roman"/>
                <w:sz w:val="24"/>
                <w:szCs w:val="24"/>
              </w:rPr>
              <w:t xml:space="preserve"> mobil</w:t>
            </w:r>
            <w:r w:rsidRPr="009F530A">
              <w:rPr>
                <w:rFonts w:ascii="Times New Roman" w:hAnsi="Times New Roman" w:cs="Times New Roman"/>
                <w:sz w:val="24"/>
                <w:szCs w:val="24"/>
              </w:rPr>
              <w:t>aj</w:t>
            </w:r>
            <w:r w:rsidR="00EC0D63" w:rsidRPr="009F530A">
              <w:rPr>
                <w:rFonts w:ascii="Times New Roman" w:hAnsi="Times New Roman" w:cs="Times New Roman"/>
                <w:sz w:val="24"/>
                <w:szCs w:val="24"/>
              </w:rPr>
              <w:t>ā tehnik</w:t>
            </w:r>
            <w:r w:rsidRPr="009F530A">
              <w:rPr>
                <w:rFonts w:ascii="Times New Roman" w:hAnsi="Times New Roman" w:cs="Times New Roman"/>
                <w:sz w:val="24"/>
                <w:szCs w:val="24"/>
              </w:rPr>
              <w:t>ā</w:t>
            </w:r>
            <w:r w:rsidR="00EC0D63" w:rsidRPr="009F530A">
              <w:rPr>
                <w:rFonts w:ascii="Times New Roman" w:hAnsi="Times New Roman" w:cs="Times New Roman"/>
                <w:sz w:val="24"/>
                <w:szCs w:val="24"/>
              </w:rPr>
              <w:t>;</w:t>
            </w:r>
          </w:p>
          <w:p w14:paraId="4C7B9D00" w14:textId="53D60C40" w:rsidR="004073A8"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65A48">
              <w:rPr>
                <w:rFonts w:ascii="Times New Roman" w:hAnsi="Times New Roman" w:cs="Times New Roman"/>
                <w:sz w:val="24"/>
                <w:szCs w:val="24"/>
              </w:rPr>
              <w:t xml:space="preserve">noteikt </w:t>
            </w:r>
            <w:r w:rsidRPr="004073A8">
              <w:rPr>
                <w:rFonts w:ascii="Times New Roman" w:hAnsi="Times New Roman" w:cs="Times New Roman"/>
                <w:sz w:val="24"/>
                <w:szCs w:val="24"/>
              </w:rPr>
              <w:t>gadījumus, kuros benzīnam vai dīzeļdegvielai nav piemērojamas obligātā piejaukuma prasības;</w:t>
            </w:r>
          </w:p>
          <w:p w14:paraId="06AC587F" w14:textId="4E310729" w:rsidR="00A14BB9"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3</w:t>
            </w:r>
            <w:r w:rsidR="00EC0D63" w:rsidRPr="009F530A">
              <w:rPr>
                <w:rFonts w:ascii="Times New Roman" w:hAnsi="Times New Roman" w:cs="Times New Roman"/>
                <w:sz w:val="24"/>
                <w:szCs w:val="24"/>
              </w:rPr>
              <w:t xml:space="preserve">) noteikt kārtību, kādā veicama </w:t>
            </w:r>
            <w:r>
              <w:rPr>
                <w:rFonts w:ascii="Times New Roman" w:hAnsi="Times New Roman" w:cs="Times New Roman"/>
                <w:sz w:val="24"/>
                <w:szCs w:val="24"/>
              </w:rPr>
              <w:t xml:space="preserve">transporta enerģijas </w:t>
            </w:r>
            <w:r w:rsidR="00EC0D63" w:rsidRPr="009F530A">
              <w:rPr>
                <w:rFonts w:ascii="Times New Roman" w:hAnsi="Times New Roman" w:cs="Times New Roman"/>
                <w:sz w:val="24"/>
                <w:szCs w:val="24"/>
              </w:rPr>
              <w:t>atbilstības novērtēšana</w:t>
            </w:r>
            <w:r>
              <w:rPr>
                <w:rFonts w:ascii="Times New Roman" w:hAnsi="Times New Roman" w:cs="Times New Roman"/>
                <w:sz w:val="24"/>
                <w:szCs w:val="24"/>
              </w:rPr>
              <w:t>;</w:t>
            </w:r>
          </w:p>
          <w:p w14:paraId="55416C7C" w14:textId="15CB1C2D" w:rsidR="00172558"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4</w:t>
            </w:r>
            <w:r w:rsidR="00A14BB9" w:rsidRPr="009F530A">
              <w:rPr>
                <w:rFonts w:ascii="Times New Roman" w:hAnsi="Times New Roman" w:cs="Times New Roman"/>
                <w:sz w:val="24"/>
                <w:szCs w:val="24"/>
              </w:rPr>
              <w:t xml:space="preserve">) noteikt </w:t>
            </w:r>
            <w:r w:rsidR="00EC0D63" w:rsidRPr="009F530A">
              <w:rPr>
                <w:rFonts w:ascii="Times New Roman" w:hAnsi="Times New Roman" w:cs="Times New Roman"/>
                <w:sz w:val="24"/>
                <w:szCs w:val="24"/>
              </w:rPr>
              <w:t>kārtību, kādā kontrolējama biodegvielas ražošana un jaukšana ar degvielu;</w:t>
            </w:r>
          </w:p>
          <w:p w14:paraId="229AB3CC" w14:textId="46C8C91A" w:rsidR="00705E63"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5</w:t>
            </w:r>
            <w:r w:rsidR="00EC0D63" w:rsidRPr="009F530A">
              <w:rPr>
                <w:rFonts w:ascii="Times New Roman" w:hAnsi="Times New Roman" w:cs="Times New Roman"/>
                <w:sz w:val="24"/>
                <w:szCs w:val="24"/>
              </w:rPr>
              <w:t xml:space="preserve">) noteikt </w:t>
            </w:r>
            <w:r>
              <w:rPr>
                <w:rFonts w:ascii="Times New Roman" w:hAnsi="Times New Roman" w:cs="Times New Roman"/>
                <w:sz w:val="24"/>
                <w:szCs w:val="24"/>
              </w:rPr>
              <w:t>darbības ar kvalitātes prasībām neatbilstošu degvielu</w:t>
            </w:r>
            <w:r w:rsidR="00EC0D63" w:rsidRPr="009F530A">
              <w:rPr>
                <w:rFonts w:ascii="Times New Roman" w:hAnsi="Times New Roman" w:cs="Times New Roman"/>
                <w:sz w:val="24"/>
                <w:szCs w:val="24"/>
              </w:rPr>
              <w:t>.</w:t>
            </w:r>
          </w:p>
          <w:p w14:paraId="59C46DF7" w14:textId="54F3FEBD" w:rsidR="00705E63" w:rsidRDefault="00705E63" w:rsidP="007C1ADA">
            <w:pPr>
              <w:contextualSpacing/>
              <w:jc w:val="both"/>
              <w:rPr>
                <w:rFonts w:ascii="Times New Roman" w:eastAsia="Times New Roman" w:hAnsi="Times New Roman" w:cs="Times New Roman"/>
                <w:iCs/>
                <w:sz w:val="24"/>
                <w:szCs w:val="24"/>
                <w:lang w:eastAsia="lv-LV"/>
              </w:rPr>
            </w:pPr>
          </w:p>
          <w:p w14:paraId="5A818FA7" w14:textId="51FD13FF" w:rsidR="00A65A48" w:rsidRDefault="00A65A48"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projekta II nodaļā ir apkopoti šobrīd spēkā esošajā regulējumā noteiktie benzīna, dīzeļdegvielas un biodegvielas kvalitātes nosacījumi un iekļautas papildus kvalitātes prasības citiem transporta enerģijas veidiem. Noteikumu projekts neregulēs kvalitātes prasības elektroenerģijas kā transporta enerģijai. </w:t>
            </w:r>
          </w:p>
          <w:p w14:paraId="7D32FC76" w14:textId="58B9878D" w:rsidR="0039328F" w:rsidRDefault="00EC0D63"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Benzīna un dīzeļdegvielas kvalitātes prasības izriet no Eiropas Parlamenta un Padomes 1998.gada 13.oktobra Direktīvas 98/70/EK kas attiecas uz benzīna un dīzeļdegvielu kvalitāti un ar ko groza Padomes Direktīvu 93/12/EEK (turpmāk – Direktīva 98/70/EK), bet vienotu nosacījumu attiecībā uz visiem alternatīvo degvielu veidiem Eiropas Savienībā nav. Tikai daļēji alternatīvo degvielu kvalitātes prasības ir atrunātas Eiropas Parlamenta un Padomes 2014.gada 22.oktobra Direktīvā 2014/94/ES par alternatīvo degvielu infrastruktūras ieviešanu</w:t>
            </w:r>
            <w:r w:rsidR="00181341" w:rsidRPr="009F530A">
              <w:rPr>
                <w:rFonts w:ascii="Times New Roman" w:eastAsia="Times New Roman" w:hAnsi="Times New Roman" w:cs="Times New Roman"/>
                <w:iCs/>
                <w:sz w:val="24"/>
                <w:szCs w:val="24"/>
                <w:lang w:eastAsia="lv-LV"/>
              </w:rPr>
              <w:t xml:space="preserve"> (turpmāk –</w:t>
            </w:r>
            <w:r w:rsidR="00501D01" w:rsidRPr="009F530A">
              <w:rPr>
                <w:rFonts w:ascii="Times New Roman" w:eastAsia="Times New Roman" w:hAnsi="Times New Roman" w:cs="Times New Roman"/>
                <w:iCs/>
                <w:sz w:val="24"/>
                <w:szCs w:val="24"/>
                <w:lang w:eastAsia="lv-LV"/>
              </w:rPr>
              <w:t xml:space="preserve"> Direktīva 2014/94/ES</w:t>
            </w:r>
            <w:r w:rsidR="00181341"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Līdz ar to</w:t>
            </w:r>
            <w:r w:rsidR="00FD4BD6"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 Ekonomikas ministrijas ieskatā</w:t>
            </w:r>
            <w:r w:rsidR="00FD4BD6"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 objektīvi regulējumā būtu nostiprināt tās kvalitātes prasīb</w:t>
            </w:r>
            <w:r w:rsidR="00FD4BD6" w:rsidRPr="009F530A">
              <w:rPr>
                <w:rFonts w:ascii="Times New Roman" w:eastAsia="Times New Roman" w:hAnsi="Times New Roman" w:cs="Times New Roman"/>
                <w:iCs/>
                <w:sz w:val="24"/>
                <w:szCs w:val="24"/>
                <w:lang w:eastAsia="lv-LV"/>
              </w:rPr>
              <w:t>a</w:t>
            </w:r>
            <w:r w:rsidRPr="009F530A">
              <w:rPr>
                <w:rFonts w:ascii="Times New Roman" w:eastAsia="Times New Roman" w:hAnsi="Times New Roman" w:cs="Times New Roman"/>
                <w:iCs/>
                <w:sz w:val="24"/>
                <w:szCs w:val="24"/>
                <w:lang w:eastAsia="lv-LV"/>
              </w:rPr>
              <w:t>s, kuras par atbilstošām ir atzinušas atbilstošās Eiropas Standartizācijas komitejas, izdodot standartus, kas attiecās uz konkrētiem alternatīvo degvielu veidiem, ja šie nosacījumi nav izvirzīti atbilstošajās Eiropas Savienības direktīvās.</w:t>
            </w:r>
          </w:p>
          <w:p w14:paraId="486DFFAE" w14:textId="5166367A" w:rsidR="006D4260" w:rsidRPr="00246884" w:rsidRDefault="006D4260"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 ar to Noteikumu projekta II nodaļā ir iekļautas kvalitātes prasības tādiem alternatīviem transporta enerģijas veidiem kā sašķidrinātā naftas gāze</w:t>
            </w:r>
            <w:r w:rsidR="00F75759">
              <w:rPr>
                <w:rFonts w:ascii="Times New Roman" w:eastAsia="Times New Roman" w:hAnsi="Times New Roman" w:cs="Times New Roman"/>
                <w:iCs/>
                <w:sz w:val="24"/>
                <w:szCs w:val="24"/>
                <w:lang w:eastAsia="lv-LV"/>
              </w:rPr>
              <w:t xml:space="preserve"> (turpmāk – LPG)</w:t>
            </w:r>
            <w:r>
              <w:rPr>
                <w:rFonts w:ascii="Times New Roman" w:eastAsia="Times New Roman" w:hAnsi="Times New Roman" w:cs="Times New Roman"/>
                <w:iCs/>
                <w:sz w:val="24"/>
                <w:szCs w:val="24"/>
                <w:lang w:eastAsia="lv-LV"/>
              </w:rPr>
              <w:t>, dabasgāze vai biometāns, ūdeņradis.</w:t>
            </w:r>
            <w:r w:rsidR="00F75759">
              <w:rPr>
                <w:rFonts w:ascii="Times New Roman" w:eastAsia="Times New Roman" w:hAnsi="Times New Roman" w:cs="Times New Roman"/>
                <w:iCs/>
                <w:sz w:val="24"/>
                <w:szCs w:val="24"/>
                <w:lang w:eastAsia="lv-LV"/>
              </w:rPr>
              <w:t xml:space="preserve"> No šiem minētajiem transporta enerģijas veidiem šobrīd vislielākais patēriņš ir LPG – 4,25% no autotransportā izmantotā kopējā transporta enerģijas apjoma</w:t>
            </w:r>
            <w:r w:rsidR="00D52F45">
              <w:rPr>
                <w:rFonts w:ascii="Times New Roman" w:eastAsia="Times New Roman" w:hAnsi="Times New Roman" w:cs="Times New Roman"/>
                <w:iCs/>
                <w:sz w:val="24"/>
                <w:szCs w:val="24"/>
                <w:lang w:eastAsia="lv-LV"/>
              </w:rPr>
              <w:t xml:space="preserve">, savukārt saspiestās vai sašķidrinātās dabasgāzes (CNG vai LNG) patēriņš kopējā autotransportā izmantotajā transporta enerģijas </w:t>
            </w:r>
            <w:r w:rsidR="00D52F45">
              <w:rPr>
                <w:rFonts w:ascii="Times New Roman" w:eastAsia="Times New Roman" w:hAnsi="Times New Roman" w:cs="Times New Roman"/>
                <w:iCs/>
                <w:sz w:val="24"/>
                <w:szCs w:val="24"/>
                <w:lang w:eastAsia="lv-LV"/>
              </w:rPr>
              <w:lastRenderedPageBreak/>
              <w:t>apjoms 2020.gadā bija tikai 0,05%</w:t>
            </w:r>
            <w:r w:rsidR="00F75759">
              <w:rPr>
                <w:rFonts w:ascii="Times New Roman" w:eastAsia="Times New Roman" w:hAnsi="Times New Roman" w:cs="Times New Roman"/>
                <w:iCs/>
                <w:sz w:val="24"/>
                <w:szCs w:val="24"/>
                <w:lang w:eastAsia="lv-LV"/>
              </w:rPr>
              <w:t>.</w:t>
            </w:r>
            <w:r w:rsidR="00E80E47">
              <w:rPr>
                <w:rFonts w:ascii="Times New Roman" w:eastAsia="Times New Roman" w:hAnsi="Times New Roman" w:cs="Times New Roman"/>
                <w:iCs/>
                <w:sz w:val="24"/>
                <w:szCs w:val="24"/>
                <w:lang w:eastAsia="lv-LV"/>
              </w:rPr>
              <w:t xml:space="preserve"> Līdz šim LPG kvalitātes prasības nav tikušas noteiktas, tomēr ir atzīstams, ka Latvijā (t.i. arī Eiropas Savienībā) izmantotajai transporta enerģijai būtu jāatbilst Eiropas Savienības kvalitātes standartam, lai būtu </w:t>
            </w:r>
            <w:r w:rsidR="00E80E47" w:rsidRPr="00246884">
              <w:rPr>
                <w:rFonts w:ascii="Times New Roman" w:eastAsia="Times New Roman" w:hAnsi="Times New Roman" w:cs="Times New Roman"/>
                <w:iCs/>
                <w:sz w:val="24"/>
                <w:szCs w:val="24"/>
                <w:lang w:eastAsia="lv-LV"/>
              </w:rPr>
              <w:t>pārliecība, ka Latvijā izmantotā transporta enerģija nav vides vai gaisa kvalitātei kaitējoša un neietekmē gaisa piesārņojuma līmeni (īpaši pilsētvidē).</w:t>
            </w:r>
          </w:p>
          <w:p w14:paraId="3089EE8D" w14:textId="775FDD33" w:rsidR="00962D92" w:rsidRPr="00D21022" w:rsidRDefault="00962D92" w:rsidP="00962D92">
            <w:pPr>
              <w:contextualSpacing/>
              <w:jc w:val="both"/>
              <w:rPr>
                <w:rFonts w:ascii="Times New Roman" w:hAnsi="Times New Roman" w:cs="Times New Roman"/>
                <w:sz w:val="24"/>
                <w:szCs w:val="24"/>
              </w:rPr>
            </w:pPr>
            <w:r w:rsidRPr="00246884">
              <w:rPr>
                <w:rFonts w:ascii="Times New Roman" w:eastAsia="Times New Roman" w:hAnsi="Times New Roman" w:cs="Times New Roman"/>
                <w:iCs/>
                <w:sz w:val="24"/>
                <w:szCs w:val="24"/>
                <w:lang w:eastAsia="lv-LV"/>
              </w:rPr>
              <w:t xml:space="preserve">Kvalitātes prasību noteikšana LPG, CNG vai LNG, biometānam vai ūdeņradim </w:t>
            </w:r>
            <w:r w:rsidRPr="00D21022">
              <w:rPr>
                <w:rFonts w:ascii="Times New Roman" w:hAnsi="Times New Roman" w:cs="Times New Roman"/>
                <w:sz w:val="24"/>
                <w:szCs w:val="24"/>
              </w:rPr>
              <w:t>varētu sadārdzināt šo transporta enerģijas veidu izmaksas galapatērētājiem, tomēr jānorāda, ka LPG vai CNG cena šobrīd ir būtiski zemāka nekā benzīna vai dīzeļdegvielas cena, un arī šī transporta enerģijas veida sadārdzinājums nemazinās tā konkurētspēju ar citiem transporta enerģijas veidiem.</w:t>
            </w:r>
          </w:p>
          <w:p w14:paraId="36916F90" w14:textId="2D983805" w:rsidR="00962D92" w:rsidRPr="00D21022" w:rsidRDefault="00962D92" w:rsidP="00D21022">
            <w:pPr>
              <w:jc w:val="both"/>
              <w:rPr>
                <w:rFonts w:ascii="Times New Roman" w:hAnsi="Times New Roman" w:cs="Times New Roman"/>
                <w:sz w:val="24"/>
                <w:szCs w:val="24"/>
              </w:rPr>
            </w:pPr>
            <w:r w:rsidRPr="00D21022">
              <w:rPr>
                <w:rFonts w:ascii="Times New Roman" w:hAnsi="Times New Roman" w:cs="Times New Roman"/>
                <w:sz w:val="24"/>
                <w:szCs w:val="24"/>
              </w:rPr>
              <w:t>Noteikumu projekts neparedz pienākumus izstrādāt nacionālos standartus kvalitātes prasībām transporta enerģijas veidiem, bet nosaka to atbilstību Latvijas Standarts apstiprinātajiem starptautiskajiem standartiem, kas kā kvalitātes prasības tiek noteikti arī Eiropas Savienības vai citu Eiropas Savienības dalībvalstu tiesību aktos.</w:t>
            </w:r>
          </w:p>
          <w:p w14:paraId="024BC76A" w14:textId="7736C485" w:rsidR="00A65A48" w:rsidRDefault="0039328F" w:rsidP="007C1ADA">
            <w:pPr>
              <w:contextualSpacing/>
              <w:jc w:val="both"/>
              <w:rPr>
                <w:rFonts w:ascii="Times New Roman" w:eastAsia="Times New Roman" w:hAnsi="Times New Roman" w:cs="Times New Roman"/>
                <w:iCs/>
                <w:sz w:val="24"/>
                <w:szCs w:val="24"/>
                <w:lang w:eastAsia="lv-LV"/>
              </w:rPr>
            </w:pPr>
            <w:r w:rsidRPr="00246884">
              <w:rPr>
                <w:rFonts w:ascii="Times New Roman" w:eastAsia="Times New Roman" w:hAnsi="Times New Roman" w:cs="Times New Roman"/>
                <w:iCs/>
                <w:sz w:val="24"/>
                <w:szCs w:val="24"/>
                <w:lang w:eastAsia="lv-LV"/>
              </w:rPr>
              <w:t>Likumā ir noteikts, ka periodā līdz 2023.gada 31.decembrim ir spēkā obligātā</w:t>
            </w:r>
            <w:r>
              <w:rPr>
                <w:rFonts w:ascii="Times New Roman" w:eastAsia="Times New Roman" w:hAnsi="Times New Roman" w:cs="Times New Roman"/>
                <w:iCs/>
                <w:sz w:val="24"/>
                <w:szCs w:val="24"/>
                <w:lang w:eastAsia="lv-LV"/>
              </w:rPr>
              <w:t xml:space="preserve"> biodegvielas piejaukuma prasība un ir noteikti konkrēti piejaukuma apjomi, kas ir jānodrošina katram degvielas litram. Vienlaikus Likumā ir noteikts arī, ka Ministru kabinets nosaka izņēmuma gadījumus, kad obligātā biodegvielas piejaukuma prasība var netikt piemērota. </w:t>
            </w:r>
            <w:r w:rsidR="00A65A48">
              <w:rPr>
                <w:rFonts w:ascii="Times New Roman" w:eastAsia="Times New Roman" w:hAnsi="Times New Roman" w:cs="Times New Roman"/>
                <w:iCs/>
                <w:sz w:val="24"/>
                <w:szCs w:val="24"/>
                <w:lang w:eastAsia="lv-LV"/>
              </w:rPr>
              <w:t>Noteikumu projekta II nodaļā ir regulēti gadījumi, kad benzīnam vai dīzeļdegvielai ir atļauts nepiejaukt biodegvielu obligātā piejaukuma ietvaros</w:t>
            </w:r>
            <w:r>
              <w:rPr>
                <w:rFonts w:ascii="Times New Roman" w:eastAsia="Times New Roman" w:hAnsi="Times New Roman" w:cs="Times New Roman"/>
                <w:iCs/>
                <w:sz w:val="24"/>
                <w:szCs w:val="24"/>
                <w:lang w:eastAsia="lv-LV"/>
              </w:rPr>
              <w:t xml:space="preserve">. Tāpat Noteikumu projekta II. nodaļā ir definēts </w:t>
            </w:r>
            <w:r w:rsidR="00A65A48">
              <w:rPr>
                <w:rFonts w:ascii="Times New Roman" w:eastAsia="Times New Roman" w:hAnsi="Times New Roman" w:cs="Times New Roman"/>
                <w:iCs/>
                <w:sz w:val="24"/>
                <w:szCs w:val="24"/>
                <w:lang w:eastAsia="lv-LV"/>
              </w:rPr>
              <w:t xml:space="preserve">ziemas periods – 1.novembris – 31.marts, </w:t>
            </w:r>
            <w:r w:rsidR="00A65A48" w:rsidRPr="00A65A48">
              <w:rPr>
                <w:rFonts w:ascii="Times New Roman" w:eastAsia="Times New Roman" w:hAnsi="Times New Roman" w:cs="Times New Roman"/>
                <w:iCs/>
                <w:sz w:val="24"/>
                <w:szCs w:val="24"/>
                <w:lang w:eastAsia="lv-LV"/>
              </w:rPr>
              <w:t>arktiskos un bargos ziemas apstākļos izmantojamu 0., 1., 2., 3. un 4. klases dīzeļdegvielu</w:t>
            </w:r>
            <w:r w:rsidR="00A65A48">
              <w:rPr>
                <w:rFonts w:ascii="Times New Roman" w:eastAsia="Times New Roman" w:hAnsi="Times New Roman" w:cs="Times New Roman"/>
                <w:iCs/>
                <w:sz w:val="24"/>
                <w:szCs w:val="24"/>
                <w:lang w:eastAsia="lv-LV"/>
              </w:rPr>
              <w:t xml:space="preserve"> realizācijai</w:t>
            </w:r>
            <w:r>
              <w:rPr>
                <w:rFonts w:ascii="Times New Roman" w:eastAsia="Times New Roman" w:hAnsi="Times New Roman" w:cs="Times New Roman"/>
                <w:iCs/>
                <w:sz w:val="24"/>
                <w:szCs w:val="24"/>
                <w:lang w:eastAsia="lv-LV"/>
              </w:rPr>
              <w:t>, nosakot periodu, kad dīzeļdegvielai var nenodrošināt obligāto biodegvielas piejaukumu</w:t>
            </w:r>
            <w:r w:rsidR="00A65A48">
              <w:rPr>
                <w:rFonts w:ascii="Times New Roman" w:eastAsia="Times New Roman" w:hAnsi="Times New Roman" w:cs="Times New Roman"/>
                <w:iCs/>
                <w:sz w:val="24"/>
                <w:szCs w:val="24"/>
                <w:lang w:eastAsia="lv-LV"/>
              </w:rPr>
              <w:t xml:space="preserve">. Vienlaikus, ir arī noteikts pārejas periods no ziemas perioda uz vasaras periodu attiecībā uz biodegvielas obligāto piejaukumu dīzeļdegvielai, kuras laikā degvielas piegādātājam </w:t>
            </w:r>
            <w:r w:rsidR="00C257AF">
              <w:rPr>
                <w:rFonts w:ascii="Times New Roman" w:eastAsia="Times New Roman" w:hAnsi="Times New Roman" w:cs="Times New Roman"/>
                <w:iCs/>
                <w:sz w:val="24"/>
                <w:szCs w:val="24"/>
                <w:lang w:eastAsia="lv-LV"/>
              </w:rPr>
              <w:t xml:space="preserve">noteiktos klimatiskos apstākļos </w:t>
            </w:r>
            <w:r w:rsidR="00A65A48">
              <w:rPr>
                <w:rFonts w:ascii="Times New Roman" w:eastAsia="Times New Roman" w:hAnsi="Times New Roman" w:cs="Times New Roman"/>
                <w:iCs/>
                <w:sz w:val="24"/>
                <w:szCs w:val="24"/>
                <w:lang w:eastAsia="lv-LV"/>
              </w:rPr>
              <w:t>ir atļauts realizēt arktiskos un bargos ziemas apstākļos izmantojamo dīzeļdegvielu</w:t>
            </w:r>
            <w:r w:rsidR="00C65948">
              <w:rPr>
                <w:rFonts w:ascii="Times New Roman" w:eastAsia="Times New Roman" w:hAnsi="Times New Roman" w:cs="Times New Roman"/>
                <w:iCs/>
                <w:sz w:val="24"/>
                <w:szCs w:val="24"/>
                <w:lang w:eastAsia="lv-LV"/>
              </w:rPr>
              <w:t xml:space="preserve">. Vienlaikus pārejas perioda beigās degvielas tirdzniecības vietās realizētajai dīzeļdegvielai ir jāatbilst obligātā biodegvielas piejaukuma apjomam, līdz ar to ir saprotams, ka pārejas perioda ir jau jābūt </w:t>
            </w:r>
            <w:r w:rsidR="00A65A48">
              <w:rPr>
                <w:rFonts w:ascii="Times New Roman" w:eastAsia="Times New Roman" w:hAnsi="Times New Roman" w:cs="Times New Roman"/>
                <w:iCs/>
                <w:sz w:val="24"/>
                <w:szCs w:val="24"/>
                <w:lang w:eastAsia="lv-LV"/>
              </w:rPr>
              <w:t>realizēta</w:t>
            </w:r>
            <w:r w:rsidR="00C65948">
              <w:rPr>
                <w:rFonts w:ascii="Times New Roman" w:eastAsia="Times New Roman" w:hAnsi="Times New Roman" w:cs="Times New Roman"/>
                <w:iCs/>
                <w:sz w:val="24"/>
                <w:szCs w:val="24"/>
                <w:lang w:eastAsia="lv-LV"/>
              </w:rPr>
              <w:t>i</w:t>
            </w:r>
            <w:r w:rsidR="00A65A48">
              <w:rPr>
                <w:rFonts w:ascii="Times New Roman" w:eastAsia="Times New Roman" w:hAnsi="Times New Roman" w:cs="Times New Roman"/>
                <w:iCs/>
                <w:sz w:val="24"/>
                <w:szCs w:val="24"/>
                <w:lang w:eastAsia="lv-LV"/>
              </w:rPr>
              <w:t xml:space="preserve"> dīzeļdegviela, kura atbilst obligātā piejaukuma nosacījumiem.</w:t>
            </w:r>
            <w:r w:rsidR="00856C63">
              <w:rPr>
                <w:rFonts w:ascii="Times New Roman" w:eastAsia="Times New Roman" w:hAnsi="Times New Roman" w:cs="Times New Roman"/>
                <w:iCs/>
                <w:sz w:val="24"/>
                <w:szCs w:val="24"/>
                <w:lang w:eastAsia="lv-LV"/>
              </w:rPr>
              <w:t xml:space="preserve"> </w:t>
            </w:r>
            <w:r w:rsidR="00C257AF">
              <w:rPr>
                <w:rFonts w:ascii="Times New Roman" w:eastAsia="Times New Roman" w:hAnsi="Times New Roman" w:cs="Times New Roman"/>
                <w:iCs/>
                <w:sz w:val="24"/>
                <w:szCs w:val="24"/>
                <w:lang w:eastAsia="lv-LV"/>
              </w:rPr>
              <w:t xml:space="preserve">Savukārt </w:t>
            </w:r>
            <w:r w:rsidR="00856C63">
              <w:rPr>
                <w:rFonts w:ascii="Times New Roman" w:eastAsia="Times New Roman" w:hAnsi="Times New Roman" w:cs="Times New Roman"/>
                <w:iCs/>
                <w:sz w:val="24"/>
                <w:szCs w:val="24"/>
                <w:lang w:eastAsia="lv-LV"/>
              </w:rPr>
              <w:t xml:space="preserve">Noteikumu projekta IV nodaļā ir noteikts, ka minētajā pārejas periodā </w:t>
            </w:r>
            <w:r w:rsidR="00856C63" w:rsidRPr="009F530A">
              <w:rPr>
                <w:rFonts w:ascii="Times New Roman" w:eastAsia="Times New Roman" w:hAnsi="Times New Roman" w:cs="Times New Roman"/>
                <w:iCs/>
                <w:sz w:val="24"/>
                <w:szCs w:val="24"/>
                <w:lang w:eastAsia="lv-LV"/>
              </w:rPr>
              <w:t>Būvniecības valsts kontroles birojs (turpmāk – BVKB)</w:t>
            </w:r>
            <w:r w:rsidR="00856C63">
              <w:rPr>
                <w:rFonts w:ascii="Times New Roman" w:eastAsia="Times New Roman" w:hAnsi="Times New Roman" w:cs="Times New Roman"/>
                <w:iCs/>
                <w:sz w:val="24"/>
                <w:szCs w:val="24"/>
                <w:lang w:eastAsia="lv-LV"/>
              </w:rPr>
              <w:t xml:space="preserve"> saskaņā ar noteiktajiem standartiem neveic pārbaudes degvielas tirgus uzraudzības ietvaros.</w:t>
            </w:r>
          </w:p>
          <w:p w14:paraId="71651293" w14:textId="2079A426" w:rsidR="00742FDE" w:rsidRDefault="00C65948"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Ir arī jāņem vērā, ka saskaņā ar Likumu obligātā biodegvielas piejaukuma prasība ir spēkā tikai līdz 2023.gada 1.janvārim, bet pēc tam degvielas piegādātājiem ir dota izvēles brīvība, kādā veidā realizēt atjaunojamo enerģiju transportā, lai nodrošinātu Likuma 8. un 9.pantā noteiktos mērķus, kā arī Ministru kabineta </w:t>
            </w:r>
            <w:r>
              <w:rPr>
                <w:rFonts w:ascii="Times New Roman" w:eastAsia="Times New Roman" w:hAnsi="Times New Roman" w:cs="Times New Roman"/>
                <w:iCs/>
                <w:sz w:val="24"/>
                <w:szCs w:val="24"/>
                <w:lang w:eastAsia="lv-LV"/>
              </w:rPr>
              <w:lastRenderedPageBreak/>
              <w:t>noteikumos “</w:t>
            </w:r>
            <w:r w:rsidRPr="00C65948">
              <w:rPr>
                <w:rFonts w:ascii="Times New Roman" w:eastAsia="Times New Roman" w:hAnsi="Times New Roman" w:cs="Times New Roman"/>
                <w:iCs/>
                <w:sz w:val="24"/>
                <w:szCs w:val="24"/>
                <w:lang w:eastAsia="lv-LV"/>
              </w:rPr>
              <w:t>Noteikumi par līdzdalības mehānismu, transporta enerģijas aprites cikla siltumnīcefekta gāzu emisiju intensitātes samazināšanu un vispārīgo ziņošanu</w:t>
            </w:r>
            <w:r>
              <w:rPr>
                <w:rFonts w:ascii="Times New Roman" w:eastAsia="Times New Roman" w:hAnsi="Times New Roman" w:cs="Times New Roman"/>
                <w:iCs/>
                <w:sz w:val="24"/>
                <w:szCs w:val="24"/>
                <w:lang w:eastAsia="lv-LV"/>
              </w:rPr>
              <w:t>” noteiktos pienākumus. Līdz ar to pēc minētā perioda beigām obligātais biodegvielas piejaukums netiks uzskatīts par transporta enerģijas kvalitātes p</w:t>
            </w:r>
            <w:r w:rsidR="00C257AF">
              <w:rPr>
                <w:rFonts w:ascii="Times New Roman" w:eastAsia="Times New Roman" w:hAnsi="Times New Roman" w:cs="Times New Roman"/>
                <w:iCs/>
                <w:sz w:val="24"/>
                <w:szCs w:val="24"/>
                <w:lang w:eastAsia="lv-LV"/>
              </w:rPr>
              <w:t>arametru</w:t>
            </w:r>
            <w:r>
              <w:rPr>
                <w:rFonts w:ascii="Times New Roman" w:eastAsia="Times New Roman" w:hAnsi="Times New Roman" w:cs="Times New Roman"/>
                <w:iCs/>
                <w:sz w:val="24"/>
                <w:szCs w:val="24"/>
                <w:lang w:eastAsia="lv-LV"/>
              </w:rPr>
              <w:t xml:space="preserve"> un kvalitātes prasības ietvaros netiks pārbaudīts.</w:t>
            </w:r>
          </w:p>
          <w:p w14:paraId="54930071" w14:textId="77777777" w:rsidR="00C65948" w:rsidRDefault="00C65948" w:rsidP="007C1ADA">
            <w:pPr>
              <w:contextualSpacing/>
              <w:jc w:val="both"/>
              <w:rPr>
                <w:rFonts w:ascii="Times New Roman" w:eastAsia="Times New Roman" w:hAnsi="Times New Roman" w:cs="Times New Roman"/>
                <w:iCs/>
                <w:sz w:val="24"/>
                <w:szCs w:val="24"/>
                <w:lang w:eastAsia="lv-LV"/>
              </w:rPr>
            </w:pPr>
          </w:p>
          <w:p w14:paraId="3ABE44D3" w14:textId="05C4212D" w:rsidR="00742FDE" w:rsidRDefault="00742FDE"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 III nodaļa nosaka procedūru atbilstības transporta enerģijas kvalitātes nosacījumiem novērtēšanai detalizējot Likumā noteiktos nosacījumus, kur ir detalizēti noteikta informācija, ko transporta enerģijas ražotājs iekļaut atbilstības apliecinājumā, ko saskaņā ar Likuma 4.pantu, var izsniegt transporta enerģijas ražotājs, ja transporta enerģija ir ražota Eiropas Savienībā.</w:t>
            </w:r>
          </w:p>
          <w:p w14:paraId="4588AFE5" w14:textId="611DC04F" w:rsidR="00246884" w:rsidRPr="00246884" w:rsidRDefault="00246884" w:rsidP="00246884">
            <w:pPr>
              <w:contextualSpacing/>
              <w:jc w:val="both"/>
              <w:rPr>
                <w:rFonts w:ascii="Times New Roman" w:eastAsia="Times New Roman" w:hAnsi="Times New Roman" w:cs="Times New Roman"/>
                <w:iCs/>
                <w:sz w:val="24"/>
                <w:szCs w:val="24"/>
                <w:lang w:eastAsia="lv-LV"/>
              </w:rPr>
            </w:pPr>
            <w:r w:rsidRPr="00D21022">
              <w:rPr>
                <w:rFonts w:ascii="Times New Roman" w:hAnsi="Times New Roman" w:cs="Times New Roman"/>
                <w:sz w:val="24"/>
                <w:szCs w:val="24"/>
              </w:rPr>
              <w:t>Likuma 4.panta 3.daļa noteic, ka transporta enerģijas atbilstību (ja transporta enerģijas veids ir ražots ārpus ES) nosaka ar atbilstības sertifikātu, ko ir izdevusi ne tikai Latvijā, bet arī Eiropas Ekonomikas zonas valstī akreditēta atbilstības novērtēšanas institūcija. Līdz ar to, ja kāda transporta enerģijas veida atbilstības novērtēšanai nav Latvijā akreditētas atbilstības novērtēšanas institūcijas, tad ir iespējams izmantot arī citā Eiropas Ekonomiskajā zonā akreditētu institūciju. Noteikumu projekts nosaka arī jaunas kvalitātes prasības jauniem vai salīdzinoši maz Latvijā izmantotiem transporta enerģijas veidiem, un tā kā līdz šādas kvalitātes prasības nav bijušas noteiktas, arī Latvijā nav akreditētas novērtēšanas atbilstības institūcijas, kas novērtētu atbilstību šādām kvalitātes prasībām. Tāpēc ir paredzams, ka pēc Noteikumu projekta apstiprināšanas atbilstības novērtēšanas institūcijām būs interese tikt akreditētām arī jauno kvalitātes prasību atbilstības novērtēšanai.</w:t>
            </w:r>
          </w:p>
          <w:p w14:paraId="14AEB027" w14:textId="77777777" w:rsidR="00705E63" w:rsidRPr="009F530A" w:rsidRDefault="00705E63" w:rsidP="007C1ADA">
            <w:pPr>
              <w:contextualSpacing/>
              <w:jc w:val="both"/>
              <w:rPr>
                <w:rFonts w:ascii="Times New Roman" w:eastAsia="Times New Roman" w:hAnsi="Times New Roman" w:cs="Times New Roman"/>
                <w:iCs/>
                <w:sz w:val="24"/>
                <w:szCs w:val="24"/>
                <w:lang w:eastAsia="lv-LV"/>
              </w:rPr>
            </w:pPr>
          </w:p>
          <w:p w14:paraId="04F6FE16" w14:textId="7702DB41" w:rsidR="00F05F76" w:rsidRPr="009F530A" w:rsidRDefault="009003E7"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w:t>
            </w:r>
            <w:r w:rsidR="00D77315" w:rsidRPr="009F530A">
              <w:rPr>
                <w:rFonts w:ascii="Times New Roman" w:eastAsia="Times New Roman" w:hAnsi="Times New Roman" w:cs="Times New Roman"/>
                <w:iCs/>
                <w:sz w:val="24"/>
                <w:szCs w:val="24"/>
                <w:lang w:eastAsia="lv-LV"/>
              </w:rPr>
              <w:t xml:space="preserve">oteikumu projekta IV nodaļa </w:t>
            </w:r>
            <w:r w:rsidR="00742FDE">
              <w:rPr>
                <w:rFonts w:ascii="Times New Roman" w:eastAsia="Times New Roman" w:hAnsi="Times New Roman" w:cs="Times New Roman"/>
                <w:iCs/>
                <w:sz w:val="24"/>
                <w:szCs w:val="24"/>
                <w:lang w:eastAsia="lv-LV"/>
              </w:rPr>
              <w:t>nosaka transporta enerģijas (izņemot elektroenerģijas) tirgus uzraudzības kārtību</w:t>
            </w:r>
            <w:r w:rsidR="00D77315" w:rsidRPr="009F530A">
              <w:rPr>
                <w:rFonts w:ascii="Times New Roman" w:eastAsia="Times New Roman" w:hAnsi="Times New Roman" w:cs="Times New Roman"/>
                <w:iCs/>
                <w:sz w:val="24"/>
                <w:szCs w:val="24"/>
                <w:lang w:eastAsia="lv-LV"/>
              </w:rPr>
              <w:t xml:space="preserve">. </w:t>
            </w:r>
          </w:p>
          <w:p w14:paraId="0E5BFF60" w14:textId="7A60CC14" w:rsidR="00F05F76" w:rsidRPr="009F530A" w:rsidRDefault="00F05F76" w:rsidP="007C1ADA">
            <w:pPr>
              <w:contextualSpacing/>
              <w:jc w:val="both"/>
              <w:rPr>
                <w:rFonts w:ascii="Times New Roman" w:eastAsia="Times New Roman" w:hAnsi="Times New Roman" w:cs="Times New Roman"/>
                <w:iCs/>
                <w:sz w:val="24"/>
                <w:szCs w:val="24"/>
                <w:lang w:eastAsia="lv-LV"/>
              </w:rPr>
            </w:pPr>
          </w:p>
          <w:p w14:paraId="203D370B" w14:textId="24C14632" w:rsidR="00705E63" w:rsidRPr="009F530A" w:rsidRDefault="00EC0D63" w:rsidP="0000102E">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Ņemot vērā Direktīvas 98/70/EK </w:t>
            </w:r>
            <w:r w:rsidR="009D06D7">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konsolidētās versijas</w:t>
            </w:r>
            <w:r w:rsidR="009D06D7">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 8.panta 1.</w:t>
            </w:r>
            <w:r w:rsidR="00A026EB"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3.punktā dalībvalstīm noteikto pienākumu uzraudzīt degvielas kvalitāti, </w:t>
            </w:r>
            <w:r w:rsidRPr="00EF6506">
              <w:rPr>
                <w:rFonts w:ascii="Times New Roman" w:eastAsia="Times New Roman" w:hAnsi="Times New Roman" w:cs="Times New Roman"/>
                <w:bCs/>
                <w:iCs/>
                <w:sz w:val="24"/>
                <w:szCs w:val="24"/>
                <w:lang w:eastAsia="lv-LV"/>
              </w:rPr>
              <w:t>izveidot degvielas kvalitātes uzraudzības sistēmu saskaņā ar attiecīgo Eiropas standartu prasībām</w:t>
            </w:r>
            <w:r w:rsidRPr="009F530A">
              <w:rPr>
                <w:rFonts w:ascii="Times New Roman" w:eastAsia="Times New Roman" w:hAnsi="Times New Roman" w:cs="Times New Roman"/>
                <w:iCs/>
                <w:sz w:val="24"/>
                <w:szCs w:val="24"/>
                <w:lang w:eastAsia="lv-LV"/>
              </w:rPr>
              <w:t xml:space="preserve">, </w:t>
            </w:r>
            <w:r w:rsidR="009D06D7">
              <w:rPr>
                <w:rFonts w:ascii="Times New Roman" w:eastAsia="Times New Roman" w:hAnsi="Times New Roman" w:cs="Times New Roman"/>
                <w:iCs/>
                <w:sz w:val="24"/>
                <w:szCs w:val="24"/>
                <w:lang w:eastAsia="lv-LV"/>
              </w:rPr>
              <w:t xml:space="preserve">Likumā </w:t>
            </w:r>
            <w:r w:rsidR="00501D01" w:rsidRPr="009F530A">
              <w:rPr>
                <w:rFonts w:ascii="Times New Roman" w:eastAsia="Times New Roman" w:hAnsi="Times New Roman" w:cs="Times New Roman"/>
                <w:iCs/>
                <w:sz w:val="24"/>
                <w:szCs w:val="24"/>
                <w:lang w:eastAsia="lv-LV"/>
              </w:rPr>
              <w:t>ir noteikts, ka atbilstību transporta enerģijas kvalitātes nosacījumiem un likumprojektā un Noteikumu projektā noteiktās tirgus uzraudzības darbības veic Ministru kabineta nozīmēta institūcija, kas Noteikumu projektā ir noteikta –</w:t>
            </w:r>
            <w:r w:rsidR="00856C63">
              <w:rPr>
                <w:rFonts w:ascii="Times New Roman" w:eastAsia="Times New Roman" w:hAnsi="Times New Roman" w:cs="Times New Roman"/>
                <w:iCs/>
                <w:sz w:val="24"/>
                <w:szCs w:val="24"/>
                <w:lang w:eastAsia="lv-LV"/>
              </w:rPr>
              <w:t xml:space="preserve"> </w:t>
            </w:r>
            <w:r w:rsidR="00FA574F" w:rsidRPr="009F530A">
              <w:rPr>
                <w:rFonts w:ascii="Times New Roman" w:eastAsia="Times New Roman" w:hAnsi="Times New Roman" w:cs="Times New Roman"/>
                <w:iCs/>
                <w:sz w:val="24"/>
                <w:szCs w:val="24"/>
                <w:lang w:eastAsia="lv-LV"/>
              </w:rPr>
              <w:t>BVKB</w:t>
            </w:r>
            <w:r w:rsidR="00501D01" w:rsidRPr="009F530A">
              <w:rPr>
                <w:rFonts w:ascii="Times New Roman" w:eastAsia="Times New Roman" w:hAnsi="Times New Roman" w:cs="Times New Roman"/>
                <w:iCs/>
                <w:sz w:val="24"/>
                <w:szCs w:val="24"/>
                <w:lang w:eastAsia="lv-LV"/>
              </w:rPr>
              <w:t xml:space="preserve">, kuram </w:t>
            </w:r>
            <w:r w:rsidRPr="009F530A">
              <w:rPr>
                <w:rFonts w:ascii="Times New Roman" w:eastAsia="Times New Roman" w:hAnsi="Times New Roman" w:cs="Times New Roman"/>
                <w:iCs/>
                <w:sz w:val="24"/>
                <w:szCs w:val="24"/>
                <w:lang w:eastAsia="lv-LV"/>
              </w:rPr>
              <w:t>šī uzraudzība ir jāveic saskaņā ar atbilstošo Eiropas standartu degvielas kvalitātes novērtēšanai</w:t>
            </w:r>
            <w:r w:rsidR="00501D01" w:rsidRPr="009F530A">
              <w:rPr>
                <w:rFonts w:ascii="Times New Roman" w:eastAsia="Times New Roman" w:hAnsi="Times New Roman" w:cs="Times New Roman"/>
                <w:iCs/>
                <w:sz w:val="24"/>
                <w:szCs w:val="24"/>
                <w:lang w:eastAsia="lv-LV"/>
              </w:rPr>
              <w:t xml:space="preserve">, ievērojot </w:t>
            </w:r>
            <w:r w:rsidRPr="009F530A">
              <w:rPr>
                <w:rFonts w:ascii="Times New Roman" w:eastAsia="Times New Roman" w:hAnsi="Times New Roman" w:cs="Times New Roman"/>
                <w:iCs/>
                <w:sz w:val="24"/>
                <w:szCs w:val="24"/>
                <w:lang w:eastAsia="lv-LV"/>
              </w:rPr>
              <w:t>standartā LVS EN 14274:2013 "Automobiļu degvielas. Benzīna un dīzeļdegvielas kvalitātes novērtēšana. Degvielas kvalitātes monitoringa sistēma (FQMS)" ietvertās prasības.</w:t>
            </w:r>
          </w:p>
          <w:p w14:paraId="67755E10" w14:textId="77777777" w:rsidR="00705E63" w:rsidRPr="009F530A" w:rsidRDefault="00705E63" w:rsidP="007C1ADA">
            <w:pPr>
              <w:contextualSpacing/>
              <w:jc w:val="both"/>
              <w:rPr>
                <w:rFonts w:ascii="Times New Roman" w:eastAsia="Times New Roman" w:hAnsi="Times New Roman" w:cs="Times New Roman"/>
                <w:iCs/>
                <w:sz w:val="24"/>
                <w:szCs w:val="24"/>
                <w:lang w:eastAsia="lv-LV"/>
              </w:rPr>
            </w:pPr>
          </w:p>
          <w:p w14:paraId="775983EA" w14:textId="43A23DFB" w:rsidR="00705E63" w:rsidRDefault="009003E7" w:rsidP="0000102E">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w:t>
            </w:r>
            <w:r w:rsidR="00D77315" w:rsidRPr="009F530A">
              <w:rPr>
                <w:rFonts w:ascii="Times New Roman" w:eastAsia="Times New Roman" w:hAnsi="Times New Roman" w:cs="Times New Roman"/>
                <w:iCs/>
                <w:sz w:val="24"/>
                <w:szCs w:val="24"/>
                <w:lang w:eastAsia="lv-LV"/>
              </w:rPr>
              <w:t xml:space="preserve">oteikumu projekta V nodaļa paredz noteikt kārtību, kādā </w:t>
            </w:r>
            <w:r w:rsidR="00501D01" w:rsidRPr="009F530A">
              <w:rPr>
                <w:rFonts w:ascii="Times New Roman" w:eastAsia="Times New Roman" w:hAnsi="Times New Roman" w:cs="Times New Roman"/>
                <w:iCs/>
                <w:sz w:val="24"/>
                <w:szCs w:val="24"/>
                <w:lang w:eastAsia="lv-LV"/>
              </w:rPr>
              <w:t xml:space="preserve">atgriež, </w:t>
            </w:r>
            <w:r w:rsidR="00D77315" w:rsidRPr="009F530A">
              <w:rPr>
                <w:rFonts w:ascii="Times New Roman" w:eastAsia="Times New Roman" w:hAnsi="Times New Roman" w:cs="Times New Roman"/>
                <w:iCs/>
                <w:sz w:val="24"/>
                <w:szCs w:val="24"/>
                <w:lang w:eastAsia="lv-LV"/>
              </w:rPr>
              <w:t xml:space="preserve">nodod pārstrādei vai iznīcina kvalitātes prasībām neatbilstošu transporta enerģiju. Šie nosacījumi ir attiecināti uz </w:t>
            </w:r>
            <w:r w:rsidR="00D77315" w:rsidRPr="009F530A">
              <w:rPr>
                <w:rFonts w:ascii="Times New Roman" w:eastAsia="Times New Roman" w:hAnsi="Times New Roman" w:cs="Times New Roman"/>
                <w:iCs/>
                <w:sz w:val="24"/>
                <w:szCs w:val="24"/>
                <w:lang w:eastAsia="lv-LV"/>
              </w:rPr>
              <w:lastRenderedPageBreak/>
              <w:t>visu transporta enerģiju</w:t>
            </w:r>
            <w:r w:rsidR="00742FDE">
              <w:rPr>
                <w:rFonts w:ascii="Times New Roman" w:eastAsia="Times New Roman" w:hAnsi="Times New Roman" w:cs="Times New Roman"/>
                <w:iCs/>
                <w:sz w:val="24"/>
                <w:szCs w:val="24"/>
                <w:lang w:eastAsia="lv-LV"/>
              </w:rPr>
              <w:t xml:space="preserve"> (izņemot elektroenerģiju)</w:t>
            </w:r>
            <w:r w:rsidR="00D77315" w:rsidRPr="009F530A">
              <w:rPr>
                <w:rFonts w:ascii="Times New Roman" w:eastAsia="Times New Roman" w:hAnsi="Times New Roman" w:cs="Times New Roman"/>
                <w:iCs/>
                <w:sz w:val="24"/>
                <w:szCs w:val="24"/>
                <w:lang w:eastAsia="lv-LV"/>
              </w:rPr>
              <w:t xml:space="preserve">, jo spēkā esošajā regulējumā (Noteikumos Nr.772) specifiski nosacījumi ir iekļauti tikai attiecībā uz kvalitātes prasībām neatbilstošu biodegvielu. </w:t>
            </w:r>
            <w:r w:rsidR="00927F48" w:rsidRPr="009F530A">
              <w:rPr>
                <w:rFonts w:ascii="Times New Roman" w:eastAsia="Times New Roman" w:hAnsi="Times New Roman" w:cs="Times New Roman"/>
                <w:iCs/>
                <w:sz w:val="24"/>
                <w:szCs w:val="24"/>
                <w:lang w:eastAsia="lv-LV"/>
              </w:rPr>
              <w:t>Līdz 2017.gada 1.augustam kārtību par preču iznīcināšanu noteica Ministru kabineta 2012.gada 10.janvāra noteikumi Nr.34 “Noteikumi par muitošanas režīma – preču iznīcināšana – piemērošanu” (turpmāk –</w:t>
            </w:r>
            <w:r w:rsidR="00975354" w:rsidRPr="009F530A">
              <w:rPr>
                <w:rFonts w:ascii="Times New Roman" w:eastAsia="Times New Roman" w:hAnsi="Times New Roman" w:cs="Times New Roman"/>
                <w:iCs/>
                <w:sz w:val="24"/>
                <w:szCs w:val="24"/>
                <w:lang w:eastAsia="lv-LV"/>
              </w:rPr>
              <w:t xml:space="preserve"> </w:t>
            </w:r>
            <w:r w:rsidR="0041105D" w:rsidRPr="009F530A">
              <w:rPr>
                <w:rFonts w:ascii="Times New Roman" w:eastAsia="Times New Roman" w:hAnsi="Times New Roman" w:cs="Times New Roman"/>
                <w:iCs/>
                <w:sz w:val="24"/>
                <w:szCs w:val="24"/>
                <w:lang w:eastAsia="lv-LV"/>
              </w:rPr>
              <w:t>N</w:t>
            </w:r>
            <w:r w:rsidR="00927F48" w:rsidRPr="009F530A">
              <w:rPr>
                <w:rFonts w:ascii="Times New Roman" w:eastAsia="Times New Roman" w:hAnsi="Times New Roman" w:cs="Times New Roman"/>
                <w:iCs/>
                <w:sz w:val="24"/>
                <w:szCs w:val="24"/>
                <w:lang w:eastAsia="lv-LV"/>
              </w:rPr>
              <w:t xml:space="preserve">oteikumi Nr.34). Atbilstoši </w:t>
            </w:r>
            <w:r w:rsidR="00975354" w:rsidRPr="009F530A">
              <w:rPr>
                <w:rFonts w:ascii="Times New Roman" w:eastAsia="Times New Roman" w:hAnsi="Times New Roman" w:cs="Times New Roman"/>
                <w:iCs/>
                <w:sz w:val="24"/>
                <w:szCs w:val="24"/>
                <w:lang w:eastAsia="lv-LV"/>
              </w:rPr>
              <w:t>N</w:t>
            </w:r>
            <w:r w:rsidR="00927F48" w:rsidRPr="009F530A">
              <w:rPr>
                <w:rFonts w:ascii="Times New Roman" w:eastAsia="Times New Roman" w:hAnsi="Times New Roman" w:cs="Times New Roman"/>
                <w:iCs/>
                <w:sz w:val="24"/>
                <w:szCs w:val="24"/>
                <w:lang w:eastAsia="lv-LV"/>
              </w:rPr>
              <w:t xml:space="preserve">oteikumos Nr.34 noteiktajam regulējumam, </w:t>
            </w:r>
            <w:r w:rsidR="00277B42" w:rsidRPr="009F530A">
              <w:rPr>
                <w:rFonts w:ascii="Times New Roman" w:eastAsia="Times New Roman" w:hAnsi="Times New Roman" w:cs="Times New Roman"/>
                <w:iCs/>
                <w:sz w:val="24"/>
                <w:szCs w:val="24"/>
                <w:lang w:eastAsia="lv-LV"/>
              </w:rPr>
              <w:t xml:space="preserve">Valsts ieņēmumu dienests (turpmāk – VID) </w:t>
            </w:r>
            <w:r w:rsidR="00927F48" w:rsidRPr="009F530A">
              <w:rPr>
                <w:rFonts w:ascii="Times New Roman" w:eastAsia="Times New Roman" w:hAnsi="Times New Roman" w:cs="Times New Roman"/>
                <w:iCs/>
                <w:sz w:val="24"/>
                <w:szCs w:val="24"/>
                <w:lang w:eastAsia="lv-LV"/>
              </w:rPr>
              <w:t>pēc personas iesnieguma saņemšanas vēr</w:t>
            </w:r>
            <w:r w:rsidR="00742FDE">
              <w:rPr>
                <w:rFonts w:ascii="Times New Roman" w:eastAsia="Times New Roman" w:hAnsi="Times New Roman" w:cs="Times New Roman"/>
                <w:iCs/>
                <w:sz w:val="24"/>
                <w:szCs w:val="24"/>
                <w:lang w:eastAsia="lv-LV"/>
              </w:rPr>
              <w:t>šas</w:t>
            </w:r>
            <w:r w:rsidR="00927F48" w:rsidRPr="009F530A">
              <w:rPr>
                <w:rFonts w:ascii="Times New Roman" w:eastAsia="Times New Roman" w:hAnsi="Times New Roman" w:cs="Times New Roman"/>
                <w:iCs/>
                <w:sz w:val="24"/>
                <w:szCs w:val="24"/>
                <w:lang w:eastAsia="lv-LV"/>
              </w:rPr>
              <w:t xml:space="preserve"> </w:t>
            </w:r>
            <w:r w:rsidR="004C78A3" w:rsidRPr="009F530A">
              <w:rPr>
                <w:rFonts w:ascii="Times New Roman" w:eastAsia="Times New Roman" w:hAnsi="Times New Roman" w:cs="Times New Roman"/>
                <w:iCs/>
                <w:sz w:val="24"/>
                <w:szCs w:val="24"/>
                <w:lang w:eastAsia="lv-LV"/>
              </w:rPr>
              <w:t xml:space="preserve">Valsts vides dienestā (turpmāk – </w:t>
            </w:r>
            <w:r w:rsidR="00927F48" w:rsidRPr="009F530A">
              <w:rPr>
                <w:rFonts w:ascii="Times New Roman" w:eastAsia="Times New Roman" w:hAnsi="Times New Roman" w:cs="Times New Roman"/>
                <w:iCs/>
                <w:sz w:val="24"/>
                <w:szCs w:val="24"/>
                <w:lang w:eastAsia="lv-LV"/>
              </w:rPr>
              <w:t>VVD</w:t>
            </w:r>
            <w:r w:rsidR="004C78A3" w:rsidRPr="009F530A">
              <w:rPr>
                <w:rFonts w:ascii="Times New Roman" w:eastAsia="Times New Roman" w:hAnsi="Times New Roman" w:cs="Times New Roman"/>
                <w:iCs/>
                <w:sz w:val="24"/>
                <w:szCs w:val="24"/>
                <w:lang w:eastAsia="lv-LV"/>
              </w:rPr>
              <w:t>)</w:t>
            </w:r>
            <w:r w:rsidR="00927F48" w:rsidRPr="009F530A">
              <w:rPr>
                <w:rFonts w:ascii="Times New Roman" w:eastAsia="Times New Roman" w:hAnsi="Times New Roman" w:cs="Times New Roman"/>
                <w:iCs/>
                <w:sz w:val="24"/>
                <w:szCs w:val="24"/>
                <w:lang w:eastAsia="lv-LV"/>
              </w:rPr>
              <w:t xml:space="preserve">, lai saņemtu atzinumu par preču iznīcināšanas vietu. </w:t>
            </w:r>
            <w:r w:rsidR="00A77254" w:rsidRPr="009F530A">
              <w:rPr>
                <w:rFonts w:ascii="Times New Roman" w:eastAsia="Times New Roman" w:hAnsi="Times New Roman" w:cs="Times New Roman"/>
                <w:iCs/>
                <w:sz w:val="24"/>
                <w:szCs w:val="24"/>
                <w:lang w:eastAsia="lv-LV"/>
              </w:rPr>
              <w:t>Savukārt s</w:t>
            </w:r>
            <w:r w:rsidR="00927F48" w:rsidRPr="009F530A">
              <w:rPr>
                <w:rFonts w:ascii="Times New Roman" w:eastAsia="Times New Roman" w:hAnsi="Times New Roman" w:cs="Times New Roman"/>
                <w:iCs/>
                <w:sz w:val="24"/>
                <w:szCs w:val="24"/>
                <w:lang w:eastAsia="lv-LV"/>
              </w:rPr>
              <w:t xml:space="preserve">askaņā ar Ministru kabineta </w:t>
            </w:r>
            <w:r w:rsidR="00501D01" w:rsidRPr="009F530A">
              <w:rPr>
                <w:rFonts w:ascii="Times New Roman" w:eastAsia="Times New Roman" w:hAnsi="Times New Roman" w:cs="Times New Roman"/>
                <w:iCs/>
                <w:sz w:val="24"/>
                <w:szCs w:val="24"/>
                <w:lang w:eastAsia="lv-LV"/>
              </w:rPr>
              <w:t xml:space="preserve">2018.gada 21.novembra </w:t>
            </w:r>
            <w:r w:rsidR="00927F48" w:rsidRPr="009F530A">
              <w:rPr>
                <w:rFonts w:ascii="Times New Roman" w:eastAsia="Times New Roman" w:hAnsi="Times New Roman" w:cs="Times New Roman"/>
                <w:iCs/>
                <w:sz w:val="24"/>
                <w:szCs w:val="24"/>
                <w:lang w:eastAsia="lv-LV"/>
              </w:rPr>
              <w:t>noteikum</w:t>
            </w:r>
            <w:r w:rsidR="00501D01" w:rsidRPr="009F530A">
              <w:rPr>
                <w:rFonts w:ascii="Times New Roman" w:eastAsia="Times New Roman" w:hAnsi="Times New Roman" w:cs="Times New Roman"/>
                <w:iCs/>
                <w:sz w:val="24"/>
                <w:szCs w:val="24"/>
                <w:lang w:eastAsia="lv-LV"/>
              </w:rPr>
              <w:t xml:space="preserve">os Nr. 714 “Kārtība, kādā notiek preču iznīcināšana vai atteikšanās no precēm par labu valstij” </w:t>
            </w:r>
            <w:r w:rsidR="00927F48" w:rsidRPr="009F530A">
              <w:rPr>
                <w:rFonts w:ascii="Times New Roman" w:eastAsia="Times New Roman" w:hAnsi="Times New Roman" w:cs="Times New Roman"/>
                <w:iCs/>
                <w:sz w:val="24"/>
                <w:szCs w:val="24"/>
                <w:lang w:eastAsia="lv-LV"/>
              </w:rPr>
              <w:t>iekļauto regulējumu, personai nebūs nepieciešams vērsties pie VVD, lai saskaņotu iznīcināšanas vietu. Persona pirms preču pieteikšanas iznīcināšanai pati noskaidro</w:t>
            </w:r>
            <w:r w:rsidR="00F241F8" w:rsidRPr="009F530A">
              <w:rPr>
                <w:rFonts w:ascii="Times New Roman" w:eastAsia="Times New Roman" w:hAnsi="Times New Roman" w:cs="Times New Roman"/>
                <w:iCs/>
                <w:sz w:val="24"/>
                <w:szCs w:val="24"/>
                <w:lang w:eastAsia="lv-LV"/>
              </w:rPr>
              <w:t>tu</w:t>
            </w:r>
            <w:r w:rsidR="00927F48" w:rsidRPr="009F530A">
              <w:rPr>
                <w:rFonts w:ascii="Times New Roman" w:eastAsia="Times New Roman" w:hAnsi="Times New Roman" w:cs="Times New Roman"/>
                <w:iCs/>
                <w:sz w:val="24"/>
                <w:szCs w:val="24"/>
                <w:lang w:eastAsia="lv-LV"/>
              </w:rPr>
              <w:t xml:space="preserve"> tai izdevīgāko preču iznīcināšanas vietu jeb komersantu, kuram ir atbilstoša piesārņojošas darbības atļauja. Tādejādi persona var</w:t>
            </w:r>
            <w:r w:rsidR="00F14122" w:rsidRPr="009F530A">
              <w:rPr>
                <w:rFonts w:ascii="Times New Roman" w:eastAsia="Times New Roman" w:hAnsi="Times New Roman" w:cs="Times New Roman"/>
                <w:iCs/>
                <w:sz w:val="24"/>
                <w:szCs w:val="24"/>
                <w:lang w:eastAsia="lv-LV"/>
              </w:rPr>
              <w:t>ēs</w:t>
            </w:r>
            <w:r w:rsidR="00927F48" w:rsidRPr="009F530A">
              <w:rPr>
                <w:rFonts w:ascii="Times New Roman" w:eastAsia="Times New Roman" w:hAnsi="Times New Roman" w:cs="Times New Roman"/>
                <w:iCs/>
                <w:sz w:val="24"/>
                <w:szCs w:val="24"/>
                <w:lang w:eastAsia="lv-LV"/>
              </w:rPr>
              <w:t xml:space="preserve"> brīvi rīkoties patstāvīgi, ja tai jau ir sadarbība ar šādu komersantu, vai arī vērsties VVD pēc izziņas par iespējamām preču iznīcināšanas vietām, no kurām persona var izvēlēties sev izdevīgāko. Ņemot vērā minēto, personai VID </w:t>
            </w:r>
            <w:r w:rsidR="00F42BCB" w:rsidRPr="009F530A">
              <w:rPr>
                <w:rFonts w:ascii="Times New Roman" w:eastAsia="Times New Roman" w:hAnsi="Times New Roman" w:cs="Times New Roman"/>
                <w:iCs/>
                <w:sz w:val="24"/>
                <w:szCs w:val="24"/>
                <w:lang w:eastAsia="lv-LV"/>
              </w:rPr>
              <w:t>vairs ne</w:t>
            </w:r>
            <w:r w:rsidR="00927F48" w:rsidRPr="009F530A">
              <w:rPr>
                <w:rFonts w:ascii="Times New Roman" w:eastAsia="Times New Roman" w:hAnsi="Times New Roman" w:cs="Times New Roman"/>
                <w:iCs/>
                <w:sz w:val="24"/>
                <w:szCs w:val="24"/>
                <w:lang w:eastAsia="lv-LV"/>
              </w:rPr>
              <w:t>bū</w:t>
            </w:r>
            <w:r w:rsidR="00853560" w:rsidRPr="009F530A">
              <w:rPr>
                <w:rFonts w:ascii="Times New Roman" w:eastAsia="Times New Roman" w:hAnsi="Times New Roman" w:cs="Times New Roman"/>
                <w:iCs/>
                <w:sz w:val="24"/>
                <w:szCs w:val="24"/>
                <w:lang w:eastAsia="lv-LV"/>
              </w:rPr>
              <w:t>s</w:t>
            </w:r>
            <w:r w:rsidR="00927F48" w:rsidRPr="009F530A">
              <w:rPr>
                <w:rFonts w:ascii="Times New Roman" w:eastAsia="Times New Roman" w:hAnsi="Times New Roman" w:cs="Times New Roman"/>
                <w:iCs/>
                <w:sz w:val="24"/>
                <w:szCs w:val="24"/>
                <w:lang w:eastAsia="lv-LV"/>
              </w:rPr>
              <w:t xml:space="preserve"> </w:t>
            </w:r>
            <w:r w:rsidR="00F42BCB" w:rsidRPr="009F530A">
              <w:rPr>
                <w:rFonts w:ascii="Times New Roman" w:eastAsia="Times New Roman" w:hAnsi="Times New Roman" w:cs="Times New Roman"/>
                <w:iCs/>
                <w:sz w:val="24"/>
                <w:szCs w:val="24"/>
                <w:lang w:eastAsia="lv-LV"/>
              </w:rPr>
              <w:t>jā</w:t>
            </w:r>
            <w:r w:rsidR="00927F48" w:rsidRPr="009F530A">
              <w:rPr>
                <w:rFonts w:ascii="Times New Roman" w:eastAsia="Times New Roman" w:hAnsi="Times New Roman" w:cs="Times New Roman"/>
                <w:iCs/>
                <w:sz w:val="24"/>
                <w:szCs w:val="24"/>
                <w:lang w:eastAsia="lv-LV"/>
              </w:rPr>
              <w:t>iesnied</w:t>
            </w:r>
            <w:r w:rsidR="00F42BCB" w:rsidRPr="009F530A">
              <w:rPr>
                <w:rFonts w:ascii="Times New Roman" w:eastAsia="Times New Roman" w:hAnsi="Times New Roman" w:cs="Times New Roman"/>
                <w:iCs/>
                <w:sz w:val="24"/>
                <w:szCs w:val="24"/>
                <w:lang w:eastAsia="lv-LV"/>
              </w:rPr>
              <w:t>z</w:t>
            </w:r>
            <w:r w:rsidR="00927F48" w:rsidRPr="009F530A">
              <w:rPr>
                <w:rFonts w:ascii="Times New Roman" w:eastAsia="Times New Roman" w:hAnsi="Times New Roman" w:cs="Times New Roman"/>
                <w:iCs/>
                <w:sz w:val="24"/>
                <w:szCs w:val="24"/>
                <w:lang w:eastAsia="lv-LV"/>
              </w:rPr>
              <w:t xml:space="preserve"> VVD izsniegta izziņa par preču iznīcināšanas vietu.</w:t>
            </w:r>
          </w:p>
          <w:p w14:paraId="2D9F9BF9" w14:textId="7BEE2E92" w:rsidR="00742FDE" w:rsidRPr="009F530A" w:rsidRDefault="00742FDE" w:rsidP="0000102E">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Tāpat šajā nodaļā ir iekļauti nosacījumi BVKB darbībām kvalitātes prasībām neatbilstošas degvielas konstatēšanas gadījumos.</w:t>
            </w:r>
          </w:p>
          <w:p w14:paraId="4026A3B7" w14:textId="77777777" w:rsidR="00705E63" w:rsidRPr="009F530A" w:rsidRDefault="00705E63" w:rsidP="007C1ADA">
            <w:pPr>
              <w:contextualSpacing/>
              <w:jc w:val="both"/>
              <w:rPr>
                <w:rFonts w:ascii="Times New Roman" w:eastAsia="Times New Roman" w:hAnsi="Times New Roman" w:cs="Times New Roman"/>
                <w:iCs/>
                <w:sz w:val="24"/>
                <w:szCs w:val="24"/>
                <w:lang w:eastAsia="lv-LV"/>
              </w:rPr>
            </w:pPr>
          </w:p>
          <w:p w14:paraId="789B73B7" w14:textId="444A9204" w:rsidR="00FE3D88" w:rsidRDefault="00EC0D63" w:rsidP="003046D4">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Tā kā Latvijai</w:t>
            </w:r>
            <w:r w:rsidRPr="009F530A">
              <w:rPr>
                <w:rFonts w:ascii="Times New Roman" w:hAnsi="Times New Roman" w:cs="Times New Roman"/>
                <w:sz w:val="24"/>
                <w:szCs w:val="24"/>
              </w:rPr>
              <w:t xml:space="preserve"> saskaņā ar Eiropas </w:t>
            </w:r>
            <w:r w:rsidRPr="009F530A">
              <w:rPr>
                <w:rFonts w:ascii="Times New Roman" w:eastAsia="Times New Roman" w:hAnsi="Times New Roman" w:cs="Times New Roman"/>
                <w:iCs/>
                <w:sz w:val="24"/>
                <w:szCs w:val="24"/>
                <w:lang w:eastAsia="lv-LV"/>
              </w:rPr>
              <w:t>Komisijas</w:t>
            </w:r>
            <w:r w:rsidR="003046D4">
              <w:rPr>
                <w:rFonts w:ascii="Times New Roman" w:eastAsia="Times New Roman" w:hAnsi="Times New Roman" w:cs="Times New Roman"/>
                <w:iCs/>
                <w:sz w:val="24"/>
                <w:szCs w:val="24"/>
                <w:lang w:eastAsia="lv-LV"/>
              </w:rPr>
              <w:t xml:space="preserve"> 2021.gada 28.maija</w:t>
            </w:r>
            <w:r w:rsidRPr="009F530A">
              <w:rPr>
                <w:rFonts w:ascii="Times New Roman" w:eastAsia="Times New Roman" w:hAnsi="Times New Roman" w:cs="Times New Roman"/>
                <w:iCs/>
                <w:sz w:val="24"/>
                <w:szCs w:val="24"/>
                <w:lang w:eastAsia="lv-LV"/>
              </w:rPr>
              <w:t xml:space="preserve"> </w:t>
            </w:r>
            <w:r w:rsidR="003046D4">
              <w:rPr>
                <w:rFonts w:ascii="Times New Roman" w:eastAsia="Times New Roman" w:hAnsi="Times New Roman" w:cs="Times New Roman"/>
                <w:iCs/>
                <w:sz w:val="24"/>
                <w:szCs w:val="24"/>
                <w:lang w:eastAsia="lv-LV"/>
              </w:rPr>
              <w:t>Ī</w:t>
            </w:r>
            <w:r w:rsidRPr="009F530A">
              <w:rPr>
                <w:rFonts w:ascii="Times New Roman" w:eastAsia="Times New Roman" w:hAnsi="Times New Roman" w:cs="Times New Roman"/>
                <w:iCs/>
                <w:sz w:val="24"/>
                <w:szCs w:val="24"/>
                <w:lang w:eastAsia="lv-LV"/>
              </w:rPr>
              <w:t>stenošanas lēmumu</w:t>
            </w:r>
            <w:r w:rsidR="003046D4">
              <w:rPr>
                <w:rFonts w:ascii="Times New Roman" w:eastAsia="Times New Roman" w:hAnsi="Times New Roman" w:cs="Times New Roman"/>
                <w:iCs/>
                <w:sz w:val="24"/>
                <w:szCs w:val="24"/>
                <w:lang w:eastAsia="lv-LV"/>
              </w:rPr>
              <w:t xml:space="preserve"> Nr. </w:t>
            </w:r>
            <w:r w:rsidR="003046D4" w:rsidRPr="003046D4">
              <w:rPr>
                <w:rFonts w:ascii="Times New Roman" w:eastAsia="Times New Roman" w:hAnsi="Times New Roman" w:cs="Times New Roman"/>
                <w:iCs/>
                <w:sz w:val="24"/>
                <w:szCs w:val="24"/>
                <w:lang w:eastAsia="lv-LV"/>
              </w:rPr>
              <w:t>C(2021) 3723</w:t>
            </w:r>
            <w:r w:rsidR="003046D4">
              <w:rPr>
                <w:rFonts w:ascii="Times New Roman" w:eastAsia="Times New Roman" w:hAnsi="Times New Roman" w:cs="Times New Roman"/>
                <w:iCs/>
                <w:sz w:val="24"/>
                <w:szCs w:val="24"/>
                <w:lang w:eastAsia="lv-LV"/>
              </w:rPr>
              <w:t xml:space="preserve"> </w:t>
            </w:r>
            <w:r w:rsidR="003046D4" w:rsidRPr="003046D4">
              <w:rPr>
                <w:rFonts w:ascii="Times New Roman" w:eastAsia="Times New Roman" w:hAnsi="Times New Roman" w:cs="Times New Roman"/>
                <w:i/>
                <w:sz w:val="24"/>
                <w:szCs w:val="24"/>
                <w:lang w:eastAsia="lv-LV"/>
              </w:rPr>
              <w:t>Par Latvijas Republikas lūgumu piešķirt atkāpi saskaņā ar Direktīvas 98/70/EK 3. panta 4. un 5. punktu</w:t>
            </w:r>
            <w:r w:rsidRPr="009F530A">
              <w:rPr>
                <w:rFonts w:ascii="Times New Roman" w:eastAsia="Times New Roman" w:hAnsi="Times New Roman" w:cs="Times New Roman"/>
                <w:iCs/>
                <w:sz w:val="24"/>
                <w:szCs w:val="24"/>
                <w:lang w:eastAsia="lv-LV"/>
              </w:rPr>
              <w:t xml:space="preserve"> ir piemērojama tvaika spiediena atkāpe līdz 20</w:t>
            </w:r>
            <w:r w:rsidR="00EF6506">
              <w:rPr>
                <w:rFonts w:ascii="Times New Roman" w:eastAsia="Times New Roman" w:hAnsi="Times New Roman" w:cs="Times New Roman"/>
                <w:iCs/>
                <w:sz w:val="24"/>
                <w:szCs w:val="24"/>
                <w:lang w:eastAsia="lv-LV"/>
              </w:rPr>
              <w:t>3</w:t>
            </w:r>
            <w:r w:rsidRPr="009F530A">
              <w:rPr>
                <w:rFonts w:ascii="Times New Roman" w:eastAsia="Times New Roman" w:hAnsi="Times New Roman" w:cs="Times New Roman"/>
                <w:iCs/>
                <w:sz w:val="24"/>
                <w:szCs w:val="24"/>
                <w:lang w:eastAsia="lv-LV"/>
              </w:rPr>
              <w:t xml:space="preserve">0.gada beigām, proti, atļaut vasaras periodā laist tirgū benzīnu ar maksimālo tvaiku spiedienu 70 kPa, </w:t>
            </w:r>
            <w:r w:rsidR="004073A8">
              <w:rPr>
                <w:rFonts w:ascii="Times New Roman" w:eastAsia="Times New Roman" w:hAnsi="Times New Roman" w:cs="Times New Roman"/>
                <w:iCs/>
                <w:sz w:val="24"/>
                <w:szCs w:val="24"/>
                <w:lang w:eastAsia="lv-LV"/>
              </w:rPr>
              <w:t xml:space="preserve">šajā noteikumu projektā ir iekļauta minētā </w:t>
            </w:r>
            <w:r w:rsidR="004C4A83" w:rsidRPr="009F530A">
              <w:rPr>
                <w:rFonts w:ascii="Times New Roman" w:eastAsia="Times New Roman" w:hAnsi="Times New Roman" w:cs="Times New Roman"/>
                <w:iCs/>
                <w:sz w:val="24"/>
                <w:szCs w:val="24"/>
                <w:lang w:eastAsia="lv-LV"/>
              </w:rPr>
              <w:t>benzīna</w:t>
            </w:r>
            <w:r w:rsidR="004073A8">
              <w:rPr>
                <w:rFonts w:ascii="Times New Roman" w:eastAsia="Times New Roman" w:hAnsi="Times New Roman" w:cs="Times New Roman"/>
                <w:iCs/>
                <w:sz w:val="24"/>
                <w:szCs w:val="24"/>
                <w:lang w:eastAsia="lv-LV"/>
              </w:rPr>
              <w:t xml:space="preserve"> tvaika spiediena atkāpe</w:t>
            </w:r>
            <w:r w:rsidR="004C4A83" w:rsidRPr="009F530A">
              <w:rPr>
                <w:rFonts w:ascii="Times New Roman" w:eastAsia="Times New Roman" w:hAnsi="Times New Roman" w:cs="Times New Roman"/>
                <w:iCs/>
                <w:sz w:val="24"/>
                <w:szCs w:val="24"/>
                <w:lang w:eastAsia="lv-LV"/>
              </w:rPr>
              <w:t xml:space="preserve">. </w:t>
            </w:r>
          </w:p>
          <w:p w14:paraId="7BD08D79" w14:textId="0AD05BFD" w:rsidR="00067BA5" w:rsidRDefault="00067BA5" w:rsidP="003046D4">
            <w:pPr>
              <w:contextualSpacing/>
              <w:jc w:val="both"/>
              <w:rPr>
                <w:rFonts w:ascii="Times New Roman" w:eastAsia="Times New Roman" w:hAnsi="Times New Roman" w:cs="Times New Roman"/>
                <w:iCs/>
                <w:sz w:val="24"/>
                <w:szCs w:val="24"/>
                <w:lang w:eastAsia="lv-LV"/>
              </w:rPr>
            </w:pPr>
          </w:p>
          <w:p w14:paraId="7665A44A" w14:textId="0E8B39CE" w:rsidR="00067BA5" w:rsidRDefault="00067BA5" w:rsidP="003046D4">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 pielikumos ir iekļauti</w:t>
            </w:r>
            <w:r w:rsidR="00F02403">
              <w:rPr>
                <w:rFonts w:ascii="Times New Roman" w:eastAsia="Times New Roman" w:hAnsi="Times New Roman" w:cs="Times New Roman"/>
                <w:iCs/>
                <w:sz w:val="24"/>
                <w:szCs w:val="24"/>
                <w:lang w:eastAsia="lv-LV"/>
              </w:rPr>
              <w:t xml:space="preserve"> vairāki pielikumi, kas nosaka dažādu transporta enerģijas veidu kvalitātes prasības. Par pamatu šiem rādītājiem ir ņemti šobrīd Noteikumos Nr.332 un Noteikumos Nr.772 noteiktie rādītāji, standartos noteiktie rādītāji, kā arī Igaunijas tiesību aktos</w:t>
            </w:r>
            <w:r w:rsidR="00F02403">
              <w:rPr>
                <w:rStyle w:val="FootnoteReference"/>
                <w:rFonts w:ascii="Times New Roman" w:eastAsia="Times New Roman" w:hAnsi="Times New Roman" w:cs="Times New Roman"/>
                <w:iCs/>
                <w:sz w:val="24"/>
                <w:szCs w:val="24"/>
                <w:lang w:eastAsia="lv-LV"/>
              </w:rPr>
              <w:footnoteReference w:id="3"/>
            </w:r>
            <w:r w:rsidR="00F02403">
              <w:rPr>
                <w:rFonts w:ascii="Times New Roman" w:eastAsia="Times New Roman" w:hAnsi="Times New Roman" w:cs="Times New Roman"/>
                <w:iCs/>
                <w:sz w:val="24"/>
                <w:szCs w:val="24"/>
                <w:lang w:eastAsia="lv-LV"/>
              </w:rPr>
              <w:t xml:space="preserve"> noteiktie rādītāji.</w:t>
            </w:r>
          </w:p>
          <w:p w14:paraId="0E354810" w14:textId="256C8BD9" w:rsidR="006D4260" w:rsidRPr="009F530A" w:rsidRDefault="006D4260" w:rsidP="003046D4">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Ja dabasgāzi vai biometānu galapatēriņam transportā piegādā un realizē izmantojot dabasgāzes pārvades vai sadales sistēmu, tad jau šobrīd šādam transporta enerģijas veidam ir spēkā esošas prasības, kas noteiktas Ministru kabineta 2016.gada 4.oktobra noteikumos Nr.650 “</w:t>
            </w:r>
            <w:r w:rsidRPr="006D4260">
              <w:rPr>
                <w:rFonts w:ascii="Times New Roman" w:eastAsia="Times New Roman" w:hAnsi="Times New Roman" w:cs="Times New Roman"/>
                <w:iCs/>
                <w:sz w:val="24"/>
                <w:szCs w:val="24"/>
                <w:lang w:eastAsia="lv-LV"/>
              </w:rPr>
              <w:t>Prasības biometāna un gāzveida stāvoklī pārvērstas sašķidrinātās dabasgāzes ievadīšanai un transportēšanai dabasgāzes pārvades un sadales sistēmā</w:t>
            </w:r>
            <w:r>
              <w:rPr>
                <w:rFonts w:ascii="Times New Roman" w:eastAsia="Times New Roman" w:hAnsi="Times New Roman" w:cs="Times New Roman"/>
                <w:iCs/>
                <w:sz w:val="24"/>
                <w:szCs w:val="24"/>
                <w:lang w:eastAsia="lv-LV"/>
              </w:rPr>
              <w:t>”.</w:t>
            </w:r>
          </w:p>
          <w:p w14:paraId="7E11CFCB" w14:textId="256C8BD9" w:rsidR="00DB6346" w:rsidRPr="009F530A" w:rsidRDefault="00DB6346" w:rsidP="007C1ADA">
            <w:pPr>
              <w:contextualSpacing/>
              <w:jc w:val="both"/>
              <w:rPr>
                <w:rFonts w:ascii="Times New Roman" w:eastAsia="Times New Roman" w:hAnsi="Times New Roman" w:cs="Times New Roman"/>
                <w:iCs/>
                <w:sz w:val="24"/>
                <w:szCs w:val="24"/>
                <w:lang w:eastAsia="lv-LV"/>
              </w:rPr>
            </w:pPr>
          </w:p>
          <w:p w14:paraId="2E6059EB" w14:textId="59AC6C0A" w:rsidR="00DB6346" w:rsidRPr="009F530A" w:rsidRDefault="00EC0D63"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lastRenderedPageBreak/>
              <w:t xml:space="preserve">Saskaņā ar Standartizācijas likuma 14. panta otro daļu obligāti piemērojamiem Latvijas nacionālajiem standartiem ir jābūt tulkotiem valsts valodā. Līdz ar to </w:t>
            </w:r>
            <w:r w:rsidR="009D06D7">
              <w:rPr>
                <w:rFonts w:ascii="Times New Roman" w:eastAsia="Times New Roman" w:hAnsi="Times New Roman" w:cs="Times New Roman"/>
                <w:iCs/>
                <w:sz w:val="24"/>
                <w:szCs w:val="24"/>
                <w:lang w:eastAsia="lv-LV"/>
              </w:rPr>
              <w:t xml:space="preserve">ir paredzēts </w:t>
            </w:r>
            <w:r w:rsidRPr="009F530A">
              <w:rPr>
                <w:rFonts w:ascii="Times New Roman" w:eastAsia="Times New Roman" w:hAnsi="Times New Roman" w:cs="Times New Roman"/>
                <w:iCs/>
                <w:sz w:val="24"/>
                <w:szCs w:val="24"/>
                <w:lang w:eastAsia="lv-LV"/>
              </w:rPr>
              <w:t xml:space="preserve">uzdot Ekonomikas ministrijai </w:t>
            </w:r>
            <w:r w:rsidR="00494A1F" w:rsidRPr="009F530A">
              <w:rPr>
                <w:rFonts w:ascii="Times New Roman" w:eastAsia="Times New Roman" w:hAnsi="Times New Roman" w:cs="Times New Roman"/>
                <w:iCs/>
                <w:sz w:val="24"/>
                <w:szCs w:val="24"/>
                <w:lang w:eastAsia="lv-LV"/>
              </w:rPr>
              <w:t xml:space="preserve">ne vēlāk kā </w:t>
            </w:r>
            <w:r w:rsidR="00FA574F" w:rsidRPr="009F530A">
              <w:rPr>
                <w:rFonts w:ascii="Times New Roman" w:eastAsia="Times New Roman" w:hAnsi="Times New Roman" w:cs="Times New Roman"/>
                <w:iCs/>
                <w:sz w:val="24"/>
                <w:szCs w:val="24"/>
                <w:lang w:eastAsia="lv-LV"/>
              </w:rPr>
              <w:t>sešu</w:t>
            </w:r>
            <w:r w:rsidR="00494A1F" w:rsidRPr="009F530A">
              <w:rPr>
                <w:rFonts w:ascii="Times New Roman" w:eastAsia="Times New Roman" w:hAnsi="Times New Roman" w:cs="Times New Roman"/>
                <w:iCs/>
                <w:sz w:val="24"/>
                <w:szCs w:val="24"/>
                <w:lang w:eastAsia="lv-LV"/>
              </w:rPr>
              <w:t xml:space="preserve"> mēnešu laikā pēc šo </w:t>
            </w:r>
            <w:r w:rsidR="002334B4" w:rsidRPr="009F530A">
              <w:rPr>
                <w:rFonts w:ascii="Times New Roman" w:eastAsia="Times New Roman" w:hAnsi="Times New Roman" w:cs="Times New Roman"/>
                <w:iCs/>
                <w:sz w:val="24"/>
                <w:szCs w:val="24"/>
                <w:lang w:eastAsia="lv-LV"/>
              </w:rPr>
              <w:t>N</w:t>
            </w:r>
            <w:r w:rsidR="00494A1F" w:rsidRPr="009F530A">
              <w:rPr>
                <w:rFonts w:ascii="Times New Roman" w:eastAsia="Times New Roman" w:hAnsi="Times New Roman" w:cs="Times New Roman"/>
                <w:iCs/>
                <w:sz w:val="24"/>
                <w:szCs w:val="24"/>
                <w:lang w:eastAsia="lv-LV"/>
              </w:rPr>
              <w:t>oteikumu stāšanās spēkā nodrošināt</w:t>
            </w:r>
            <w:r w:rsidRPr="009F530A">
              <w:rPr>
                <w:rFonts w:ascii="Times New Roman" w:eastAsia="Times New Roman" w:hAnsi="Times New Roman" w:cs="Times New Roman"/>
                <w:iCs/>
                <w:sz w:val="24"/>
                <w:szCs w:val="24"/>
                <w:lang w:eastAsia="lv-LV"/>
              </w:rPr>
              <w:t xml:space="preserve"> </w:t>
            </w:r>
            <w:r w:rsidR="00B73F02" w:rsidRPr="009F530A">
              <w:rPr>
                <w:rFonts w:ascii="Times New Roman" w:eastAsia="Times New Roman" w:hAnsi="Times New Roman" w:cs="Times New Roman"/>
                <w:iCs/>
                <w:sz w:val="24"/>
                <w:szCs w:val="24"/>
                <w:lang w:eastAsia="lv-LV"/>
              </w:rPr>
              <w:t>N</w:t>
            </w:r>
            <w:r w:rsidRPr="009F530A">
              <w:rPr>
                <w:rFonts w:ascii="Times New Roman" w:eastAsia="Times New Roman" w:hAnsi="Times New Roman" w:cs="Times New Roman"/>
                <w:iCs/>
                <w:sz w:val="24"/>
                <w:szCs w:val="24"/>
                <w:lang w:eastAsia="lv-LV"/>
              </w:rPr>
              <w:t>oteikumu projektā ietverto standartu tulkošanu valsts valodā.</w:t>
            </w:r>
            <w:r w:rsidR="00494A1F" w:rsidRPr="009F530A">
              <w:rPr>
                <w:rFonts w:ascii="Times New Roman" w:eastAsia="Times New Roman" w:hAnsi="Times New Roman" w:cs="Times New Roman"/>
                <w:iCs/>
                <w:sz w:val="24"/>
                <w:szCs w:val="24"/>
                <w:lang w:eastAsia="lv-LV"/>
              </w:rPr>
              <w:t xml:space="preserve"> </w:t>
            </w:r>
          </w:p>
        </w:tc>
      </w:tr>
      <w:tr w:rsidR="002A1CE9" w:rsidRPr="009F530A" w14:paraId="7E3A0EF5" w14:textId="77777777" w:rsidTr="00A465F4">
        <w:tc>
          <w:tcPr>
            <w:tcW w:w="296" w:type="pct"/>
            <w:hideMark/>
          </w:tcPr>
          <w:p w14:paraId="0E44101F"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lastRenderedPageBreak/>
              <w:t>3.</w:t>
            </w:r>
          </w:p>
        </w:tc>
        <w:tc>
          <w:tcPr>
            <w:tcW w:w="1146" w:type="pct"/>
            <w:hideMark/>
          </w:tcPr>
          <w:p w14:paraId="642B4043"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491" w:type="pct"/>
          </w:tcPr>
          <w:p w14:paraId="312BF3F0" w14:textId="6DE47CCE" w:rsidR="00D91D02" w:rsidRPr="009F530A" w:rsidRDefault="00EC0D63" w:rsidP="0000102E">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Ekonomikas ministrija. </w:t>
            </w:r>
          </w:p>
        </w:tc>
      </w:tr>
      <w:tr w:rsidR="002A1CE9" w:rsidRPr="009F530A" w14:paraId="060D5BA9" w14:textId="77777777" w:rsidTr="00A465F4">
        <w:tc>
          <w:tcPr>
            <w:tcW w:w="296" w:type="pct"/>
            <w:hideMark/>
          </w:tcPr>
          <w:p w14:paraId="145CC5DE"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4.</w:t>
            </w:r>
          </w:p>
        </w:tc>
        <w:tc>
          <w:tcPr>
            <w:tcW w:w="1146" w:type="pct"/>
            <w:hideMark/>
          </w:tcPr>
          <w:p w14:paraId="461F88AD"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3491" w:type="pct"/>
            <w:hideMark/>
          </w:tcPr>
          <w:p w14:paraId="42CB2313" w14:textId="77777777" w:rsidR="00D91D02"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Nav</w:t>
            </w:r>
          </w:p>
        </w:tc>
      </w:tr>
    </w:tbl>
    <w:p w14:paraId="49820802" w14:textId="77777777" w:rsidR="00E5323B" w:rsidRPr="00A465F4" w:rsidRDefault="00EC0D63"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A1CE9" w:rsidRPr="009F530A" w14:paraId="129BD632" w14:textId="77777777" w:rsidTr="00A465F4">
        <w:tc>
          <w:tcPr>
            <w:tcW w:w="0" w:type="auto"/>
            <w:gridSpan w:val="3"/>
            <w:hideMark/>
          </w:tcPr>
          <w:p w14:paraId="1C7A159D"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A1CE9" w:rsidRPr="009F530A" w14:paraId="2A2E3E31" w14:textId="77777777" w:rsidTr="00A465F4">
        <w:tc>
          <w:tcPr>
            <w:tcW w:w="296" w:type="pct"/>
            <w:hideMark/>
          </w:tcPr>
          <w:p w14:paraId="7F74EB71"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678" w:type="pct"/>
            <w:hideMark/>
          </w:tcPr>
          <w:p w14:paraId="43793F7E"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hideMark/>
          </w:tcPr>
          <w:p w14:paraId="1D859EEA" w14:textId="35CE61DB" w:rsidR="00E5323B" w:rsidRPr="009F530A" w:rsidRDefault="00EC0D63" w:rsidP="0000102E">
            <w:pPr>
              <w:contextualSpacing/>
              <w:jc w:val="both"/>
              <w:rPr>
                <w:rFonts w:ascii="Times New Roman" w:eastAsia="Times New Roman" w:hAnsi="Times New Roman" w:cs="Times New Roman"/>
                <w:iCs/>
                <w:sz w:val="24"/>
                <w:szCs w:val="24"/>
                <w:lang w:eastAsia="lv-LV"/>
              </w:rPr>
            </w:pPr>
            <w:r w:rsidRPr="009F530A">
              <w:rPr>
                <w:rFonts w:ascii="Times New Roman" w:hAnsi="Times New Roman" w:cs="Times New Roman"/>
                <w:sz w:val="24"/>
                <w:szCs w:val="24"/>
              </w:rPr>
              <w:t>Tiesiskais regulējums ietekmē transporta enerģijas  apritē iesaistītās personas un transporta enerģijas patērētājus</w:t>
            </w:r>
            <w:r w:rsidR="000C60CE" w:rsidRPr="009F530A">
              <w:rPr>
                <w:rFonts w:ascii="Times New Roman" w:hAnsi="Times New Roman" w:cs="Times New Roman"/>
                <w:sz w:val="24"/>
                <w:szCs w:val="24"/>
              </w:rPr>
              <w:t xml:space="preserve">, </w:t>
            </w:r>
            <w:r w:rsidR="001974AC" w:rsidRPr="009F530A">
              <w:rPr>
                <w:rFonts w:ascii="Times New Roman" w:hAnsi="Times New Roman" w:cs="Times New Roman"/>
                <w:sz w:val="24"/>
                <w:szCs w:val="24"/>
              </w:rPr>
              <w:t>Ekonomikas ministriju,</w:t>
            </w:r>
            <w:r w:rsidR="002334B4" w:rsidRPr="009F530A">
              <w:rPr>
                <w:rFonts w:ascii="Times New Roman" w:hAnsi="Times New Roman" w:cs="Times New Roman"/>
                <w:sz w:val="24"/>
                <w:szCs w:val="24"/>
              </w:rPr>
              <w:t xml:space="preserve"> </w:t>
            </w:r>
            <w:r w:rsidR="00FA574F" w:rsidRPr="009F530A">
              <w:rPr>
                <w:rFonts w:ascii="Times New Roman" w:hAnsi="Times New Roman" w:cs="Times New Roman"/>
                <w:sz w:val="24"/>
                <w:szCs w:val="24"/>
              </w:rPr>
              <w:t>BVKB</w:t>
            </w:r>
            <w:r w:rsidR="001974AC" w:rsidRPr="009F530A">
              <w:rPr>
                <w:rFonts w:ascii="Times New Roman" w:hAnsi="Times New Roman" w:cs="Times New Roman"/>
                <w:sz w:val="24"/>
                <w:szCs w:val="24"/>
              </w:rPr>
              <w:t>.</w:t>
            </w:r>
          </w:p>
        </w:tc>
      </w:tr>
      <w:tr w:rsidR="002A1CE9" w:rsidRPr="009F530A" w14:paraId="1FDA240E" w14:textId="77777777" w:rsidTr="00A465F4">
        <w:tc>
          <w:tcPr>
            <w:tcW w:w="296" w:type="pct"/>
            <w:hideMark/>
          </w:tcPr>
          <w:p w14:paraId="4B14A6B5"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678" w:type="pct"/>
            <w:hideMark/>
          </w:tcPr>
          <w:p w14:paraId="724C3D7A"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Tiesiskā regulējuma ietekme uz tautsaimniecību un administratīvo slogu</w:t>
            </w:r>
          </w:p>
        </w:tc>
        <w:tc>
          <w:tcPr>
            <w:tcW w:w="2960" w:type="pct"/>
            <w:hideMark/>
          </w:tcPr>
          <w:p w14:paraId="357BDE96" w14:textId="25AEA9D5" w:rsidR="00962A1C" w:rsidRPr="009F530A" w:rsidRDefault="00FA574F" w:rsidP="0002541D">
            <w:pPr>
              <w:contextualSpacing/>
              <w:jc w:val="both"/>
              <w:rPr>
                <w:rFonts w:ascii="Times New Roman" w:hAnsi="Times New Roman" w:cs="Times New Roman"/>
                <w:sz w:val="24"/>
                <w:szCs w:val="24"/>
              </w:rPr>
            </w:pPr>
            <w:r w:rsidRPr="009F530A">
              <w:rPr>
                <w:rFonts w:ascii="Times New Roman" w:hAnsi="Times New Roman" w:cs="Times New Roman"/>
                <w:sz w:val="24"/>
                <w:szCs w:val="24"/>
              </w:rPr>
              <w:t>Noteikumu projekts pēc būtības neuzliek papildu slogu komersantiem vai iestādēm, jo tiek precizēti spēkā esošie nosacījumi – Noteikumi Nr.332 un Noteikumi Nr.772, kas tiek arī nedaudz paplašināti</w:t>
            </w:r>
            <w:r w:rsidR="006D4260">
              <w:rPr>
                <w:rFonts w:ascii="Times New Roman" w:hAnsi="Times New Roman" w:cs="Times New Roman"/>
                <w:sz w:val="24"/>
                <w:szCs w:val="24"/>
              </w:rPr>
              <w:t xml:space="preserve"> attiecībā uz transporta enerģijas veidiem un tiem piemērojamām kvalitātes prasībām.</w:t>
            </w:r>
          </w:p>
          <w:p w14:paraId="2C5EE325" w14:textId="77777777" w:rsidR="00FA574F" w:rsidRPr="009F530A" w:rsidRDefault="00FA574F" w:rsidP="0002541D">
            <w:pPr>
              <w:contextualSpacing/>
              <w:jc w:val="both"/>
              <w:rPr>
                <w:rFonts w:ascii="Times New Roman" w:hAnsi="Times New Roman" w:cs="Times New Roman"/>
                <w:sz w:val="24"/>
                <w:szCs w:val="24"/>
              </w:rPr>
            </w:pPr>
          </w:p>
          <w:p w14:paraId="71DF5559" w14:textId="24961319" w:rsidR="000C60CE" w:rsidRPr="009F530A" w:rsidRDefault="0015371D" w:rsidP="005A51F8">
            <w:pPr>
              <w:contextualSpacing/>
              <w:jc w:val="both"/>
              <w:rPr>
                <w:rFonts w:ascii="Times New Roman" w:hAnsi="Times New Roman" w:cs="Times New Roman"/>
                <w:sz w:val="24"/>
                <w:szCs w:val="24"/>
              </w:rPr>
            </w:pPr>
            <w:r w:rsidRPr="009F530A">
              <w:rPr>
                <w:rFonts w:ascii="Times New Roman" w:hAnsi="Times New Roman" w:cs="Times New Roman"/>
                <w:sz w:val="24"/>
                <w:szCs w:val="24"/>
              </w:rPr>
              <w:t xml:space="preserve">Personai vairs nebūs nepieciešams vērsties VVD, lai saskaņotu kvalitātes prasībām neatbilstošu transporta enerģijas iznīcināšanas vietu un nebūs jāiesniedz Valsts ieņēmumu dienestam VVD izsniegta izziņa par preču iznīcināšanas vietu. </w:t>
            </w:r>
          </w:p>
        </w:tc>
      </w:tr>
      <w:tr w:rsidR="002A1CE9" w:rsidRPr="009F530A" w14:paraId="436558CF" w14:textId="77777777" w:rsidTr="00A465F4">
        <w:tc>
          <w:tcPr>
            <w:tcW w:w="296" w:type="pct"/>
            <w:hideMark/>
          </w:tcPr>
          <w:p w14:paraId="0EA5F625"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3.</w:t>
            </w:r>
          </w:p>
        </w:tc>
        <w:tc>
          <w:tcPr>
            <w:tcW w:w="1678" w:type="pct"/>
            <w:hideMark/>
          </w:tcPr>
          <w:p w14:paraId="0FE0A0BE"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Administratīvo izmaksu monetārs novērtējums</w:t>
            </w:r>
          </w:p>
        </w:tc>
        <w:tc>
          <w:tcPr>
            <w:tcW w:w="2960" w:type="pct"/>
            <w:hideMark/>
          </w:tcPr>
          <w:p w14:paraId="37834E73" w14:textId="77777777" w:rsidR="00E5323B"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hAnsi="Times New Roman" w:cs="Times New Roman"/>
                <w:sz w:val="24"/>
                <w:szCs w:val="24"/>
              </w:rPr>
              <w:t>Projekts šo jomu neskar</w:t>
            </w:r>
          </w:p>
        </w:tc>
      </w:tr>
      <w:tr w:rsidR="002A1CE9" w:rsidRPr="009F530A" w14:paraId="077A9313" w14:textId="77777777" w:rsidTr="00A465F4">
        <w:tc>
          <w:tcPr>
            <w:tcW w:w="296" w:type="pct"/>
            <w:hideMark/>
          </w:tcPr>
          <w:p w14:paraId="220CDE89"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4.</w:t>
            </w:r>
          </w:p>
        </w:tc>
        <w:tc>
          <w:tcPr>
            <w:tcW w:w="1678" w:type="pct"/>
            <w:hideMark/>
          </w:tcPr>
          <w:p w14:paraId="62C1DF5F"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Atbilstības izmaksu monetārs novērtējums</w:t>
            </w:r>
          </w:p>
        </w:tc>
        <w:tc>
          <w:tcPr>
            <w:tcW w:w="2960" w:type="pct"/>
            <w:hideMark/>
          </w:tcPr>
          <w:p w14:paraId="42A322CB" w14:textId="77777777" w:rsidR="00E5323B"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hAnsi="Times New Roman" w:cs="Times New Roman"/>
                <w:sz w:val="24"/>
                <w:szCs w:val="24"/>
              </w:rPr>
              <w:t>Projekts šo jomu neskar</w:t>
            </w:r>
          </w:p>
        </w:tc>
      </w:tr>
      <w:tr w:rsidR="002A1CE9" w:rsidRPr="009F530A" w14:paraId="0C79738A" w14:textId="77777777" w:rsidTr="00A465F4">
        <w:tc>
          <w:tcPr>
            <w:tcW w:w="296" w:type="pct"/>
            <w:hideMark/>
          </w:tcPr>
          <w:p w14:paraId="046904C4"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5.</w:t>
            </w:r>
          </w:p>
        </w:tc>
        <w:tc>
          <w:tcPr>
            <w:tcW w:w="1678" w:type="pct"/>
            <w:hideMark/>
          </w:tcPr>
          <w:p w14:paraId="4BE883E8"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321937AB" w14:textId="77777777" w:rsidR="00E5323B"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Nav</w:t>
            </w:r>
          </w:p>
        </w:tc>
      </w:tr>
    </w:tbl>
    <w:p w14:paraId="250113BA" w14:textId="43AEF7D6" w:rsidR="00EB46F3" w:rsidRPr="00A465F4" w:rsidRDefault="00EB46F3"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W w:w="5000" w:type="pct"/>
        <w:tblLook w:val="04A0" w:firstRow="1" w:lastRow="0" w:firstColumn="1" w:lastColumn="0" w:noHBand="0" w:noVBand="1"/>
      </w:tblPr>
      <w:tblGrid>
        <w:gridCol w:w="9061"/>
      </w:tblGrid>
      <w:tr w:rsidR="00B73F02" w:rsidRPr="009F530A" w14:paraId="525D6180" w14:textId="77777777" w:rsidTr="00A465F4">
        <w:tc>
          <w:tcPr>
            <w:tcW w:w="0" w:type="auto"/>
            <w:hideMark/>
          </w:tcPr>
          <w:p w14:paraId="7F9A0276" w14:textId="77777777" w:rsidR="00B73F02" w:rsidRPr="009F530A" w:rsidRDefault="00B73F02" w:rsidP="00FA574F">
            <w:pPr>
              <w:contextualSpacing/>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III. Tiesību akta projekta ietekme uz valsts budžetu un pašvaldību budžetiem</w:t>
            </w:r>
          </w:p>
        </w:tc>
      </w:tr>
      <w:tr w:rsidR="00B73F02" w:rsidRPr="009F530A" w14:paraId="346A4ECB" w14:textId="77777777" w:rsidTr="00A465F4">
        <w:tc>
          <w:tcPr>
            <w:tcW w:w="5000" w:type="pct"/>
            <w:hideMark/>
          </w:tcPr>
          <w:p w14:paraId="6372566C" w14:textId="77777777" w:rsidR="00B73F02" w:rsidRPr="009F530A" w:rsidRDefault="00B73F02" w:rsidP="00FA574F">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Projekts šo jomu neskar</w:t>
            </w:r>
          </w:p>
        </w:tc>
      </w:tr>
    </w:tbl>
    <w:p w14:paraId="45198898" w14:textId="77777777" w:rsidR="00B73F02" w:rsidRPr="00A465F4" w:rsidRDefault="00B73F02"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pPr w:leftFromText="180" w:rightFromText="180" w:vertAnchor="text" w:tblpY="1"/>
        <w:tblW w:w="5000" w:type="pct"/>
        <w:tblLook w:val="04A0" w:firstRow="1" w:lastRow="0" w:firstColumn="1" w:lastColumn="0" w:noHBand="0" w:noVBand="1"/>
      </w:tblPr>
      <w:tblGrid>
        <w:gridCol w:w="543"/>
        <w:gridCol w:w="3081"/>
        <w:gridCol w:w="5437"/>
      </w:tblGrid>
      <w:tr w:rsidR="002A1CE9" w:rsidRPr="009F530A" w14:paraId="6270C9A3" w14:textId="77777777" w:rsidTr="00A465F4">
        <w:tc>
          <w:tcPr>
            <w:tcW w:w="0" w:type="auto"/>
            <w:gridSpan w:val="3"/>
            <w:hideMark/>
          </w:tcPr>
          <w:p w14:paraId="44BB59CC" w14:textId="77777777" w:rsidR="009E741C" w:rsidRPr="009F530A" w:rsidRDefault="00EC0D63" w:rsidP="007C1ADA">
            <w:pPr>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IV. Tiesību akta projekta ietekme uz spēkā esošo tiesību normu sistēmu</w:t>
            </w:r>
          </w:p>
        </w:tc>
      </w:tr>
      <w:tr w:rsidR="002A1CE9" w:rsidRPr="009F530A" w14:paraId="3CC530E3" w14:textId="77777777" w:rsidTr="00A465F4">
        <w:tc>
          <w:tcPr>
            <w:tcW w:w="296" w:type="pct"/>
            <w:hideMark/>
          </w:tcPr>
          <w:p w14:paraId="1BF46CF3" w14:textId="77777777" w:rsidR="00503667" w:rsidRPr="009F530A" w:rsidRDefault="00EC0D63" w:rsidP="007C1ADA">
            <w:pPr>
              <w:rPr>
                <w:rFonts w:ascii="Times New Roman" w:eastAsia="Times New Roman" w:hAnsi="Times New Roman" w:cs="Times New Roman"/>
                <w:iCs/>
                <w:sz w:val="24"/>
                <w:szCs w:val="24"/>
                <w:lang w:val="en-US" w:eastAsia="lv-LV"/>
              </w:rPr>
            </w:pPr>
            <w:r w:rsidRPr="009F530A">
              <w:rPr>
                <w:rFonts w:ascii="Times New Roman" w:eastAsia="Times New Roman" w:hAnsi="Times New Roman" w:cs="Times New Roman"/>
                <w:iCs/>
                <w:sz w:val="24"/>
                <w:szCs w:val="24"/>
                <w:lang w:val="en-US" w:eastAsia="lv-LV"/>
              </w:rPr>
              <w:t>1.</w:t>
            </w:r>
          </w:p>
        </w:tc>
        <w:tc>
          <w:tcPr>
            <w:tcW w:w="1678" w:type="pct"/>
            <w:hideMark/>
          </w:tcPr>
          <w:p w14:paraId="0B046DFD" w14:textId="77777777" w:rsidR="00503667" w:rsidRPr="009F530A" w:rsidRDefault="00EC0D63" w:rsidP="007C1ADA">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Saistītie tiesību aktu projekti</w:t>
            </w:r>
          </w:p>
        </w:tc>
        <w:tc>
          <w:tcPr>
            <w:tcW w:w="2960" w:type="pct"/>
            <w:hideMark/>
          </w:tcPr>
          <w:p w14:paraId="3CA225B5" w14:textId="27FA501A" w:rsidR="00FA574F" w:rsidRPr="009F530A" w:rsidRDefault="00FA574F" w:rsidP="0000102E">
            <w:pPr>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Likumprojekts </w:t>
            </w:r>
          </w:p>
          <w:p w14:paraId="48DFBD74" w14:textId="4A73D3F8" w:rsidR="00FA574F" w:rsidRPr="009F530A" w:rsidRDefault="00FA574F" w:rsidP="0000102E">
            <w:pPr>
              <w:jc w:val="both"/>
              <w:rPr>
                <w:rFonts w:ascii="Times New Roman" w:eastAsia="Times New Roman" w:hAnsi="Times New Roman" w:cs="Times New Roman"/>
                <w:iCs/>
                <w:sz w:val="24"/>
                <w:szCs w:val="24"/>
                <w:lang w:eastAsia="lv-LV"/>
              </w:rPr>
            </w:pPr>
          </w:p>
          <w:p w14:paraId="43FC2FDE" w14:textId="5387FBE4" w:rsidR="0016547F" w:rsidRPr="00A465F4" w:rsidRDefault="00FA574F" w:rsidP="005A51F8">
            <w:pPr>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Ministru kabineta noteikumu projekts “</w:t>
            </w:r>
            <w:r w:rsidRPr="00A465F4">
              <w:rPr>
                <w:sz w:val="24"/>
                <w:szCs w:val="24"/>
              </w:rPr>
              <w:t xml:space="preserve"> </w:t>
            </w:r>
            <w:r w:rsidRPr="009F530A">
              <w:rPr>
                <w:rFonts w:ascii="Times New Roman" w:eastAsia="Times New Roman" w:hAnsi="Times New Roman" w:cs="Times New Roman"/>
                <w:iCs/>
                <w:sz w:val="24"/>
                <w:szCs w:val="24"/>
                <w:lang w:eastAsia="lv-LV"/>
              </w:rPr>
              <w:t>Noteikumi par līdzdalības mehānismu un transporta enerģijas aprites cikla siltumnīcefekta gāzu emisiju intensitātes samazināšanu”.</w:t>
            </w:r>
          </w:p>
        </w:tc>
      </w:tr>
      <w:tr w:rsidR="002A1CE9" w:rsidRPr="009F530A" w14:paraId="055725AC" w14:textId="77777777" w:rsidTr="00A465F4">
        <w:tc>
          <w:tcPr>
            <w:tcW w:w="296" w:type="pct"/>
            <w:hideMark/>
          </w:tcPr>
          <w:p w14:paraId="73F15B1D" w14:textId="77777777" w:rsidR="00503667" w:rsidRPr="009F530A" w:rsidRDefault="00EC0D63" w:rsidP="007C1ADA">
            <w:pPr>
              <w:rPr>
                <w:rFonts w:ascii="Times New Roman" w:eastAsia="Times New Roman" w:hAnsi="Times New Roman" w:cs="Times New Roman"/>
                <w:iCs/>
                <w:sz w:val="24"/>
                <w:szCs w:val="24"/>
                <w:lang w:val="en-US" w:eastAsia="lv-LV"/>
              </w:rPr>
            </w:pPr>
            <w:r w:rsidRPr="009F530A">
              <w:rPr>
                <w:rFonts w:ascii="Times New Roman" w:eastAsia="Times New Roman" w:hAnsi="Times New Roman" w:cs="Times New Roman"/>
                <w:iCs/>
                <w:sz w:val="24"/>
                <w:szCs w:val="24"/>
                <w:lang w:val="en-US" w:eastAsia="lv-LV"/>
              </w:rPr>
              <w:t>2.</w:t>
            </w:r>
          </w:p>
        </w:tc>
        <w:tc>
          <w:tcPr>
            <w:tcW w:w="1678" w:type="pct"/>
            <w:hideMark/>
          </w:tcPr>
          <w:p w14:paraId="0D4161E5" w14:textId="77777777" w:rsidR="00503667" w:rsidRPr="009F530A" w:rsidRDefault="00EC0D63" w:rsidP="007C1ADA">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Atbildīgā institūcija</w:t>
            </w:r>
          </w:p>
        </w:tc>
        <w:tc>
          <w:tcPr>
            <w:tcW w:w="2960" w:type="pct"/>
            <w:hideMark/>
          </w:tcPr>
          <w:p w14:paraId="2055597F" w14:textId="622B214F" w:rsidR="00503667" w:rsidRPr="009F530A" w:rsidRDefault="00EC0D63" w:rsidP="0000102E">
            <w:pPr>
              <w:rPr>
                <w:rFonts w:ascii="Times New Roman" w:eastAsia="Times New Roman" w:hAnsi="Times New Roman" w:cs="Times New Roman"/>
                <w:iCs/>
                <w:sz w:val="24"/>
                <w:szCs w:val="24"/>
                <w:lang w:val="en-US" w:eastAsia="lv-LV"/>
              </w:rPr>
            </w:pPr>
            <w:r w:rsidRPr="009F530A">
              <w:rPr>
                <w:rFonts w:ascii="Times New Roman" w:hAnsi="Times New Roman" w:cs="Times New Roman"/>
                <w:sz w:val="24"/>
                <w:szCs w:val="24"/>
              </w:rPr>
              <w:t>Ekonomikas ministrija.</w:t>
            </w:r>
          </w:p>
        </w:tc>
      </w:tr>
      <w:tr w:rsidR="002A1CE9" w:rsidRPr="009F530A" w14:paraId="64CA304D" w14:textId="77777777" w:rsidTr="00A465F4">
        <w:tc>
          <w:tcPr>
            <w:tcW w:w="296" w:type="pct"/>
            <w:hideMark/>
          </w:tcPr>
          <w:p w14:paraId="7B4CE45D" w14:textId="77777777" w:rsidR="00503667" w:rsidRPr="009F530A" w:rsidRDefault="00EC0D63" w:rsidP="007C1ADA">
            <w:pPr>
              <w:rPr>
                <w:rFonts w:ascii="Times New Roman" w:eastAsia="Times New Roman" w:hAnsi="Times New Roman" w:cs="Times New Roman"/>
                <w:iCs/>
                <w:sz w:val="24"/>
                <w:szCs w:val="24"/>
                <w:lang w:val="en-US" w:eastAsia="lv-LV"/>
              </w:rPr>
            </w:pPr>
            <w:r w:rsidRPr="009F530A">
              <w:rPr>
                <w:rFonts w:ascii="Times New Roman" w:eastAsia="Times New Roman" w:hAnsi="Times New Roman" w:cs="Times New Roman"/>
                <w:iCs/>
                <w:sz w:val="24"/>
                <w:szCs w:val="24"/>
                <w:lang w:val="en-US" w:eastAsia="lv-LV"/>
              </w:rPr>
              <w:t>3.</w:t>
            </w:r>
          </w:p>
        </w:tc>
        <w:tc>
          <w:tcPr>
            <w:tcW w:w="1678" w:type="pct"/>
            <w:hideMark/>
          </w:tcPr>
          <w:p w14:paraId="4FE1BC6B" w14:textId="77777777" w:rsidR="00503667" w:rsidRPr="009F530A" w:rsidRDefault="00EC0D63" w:rsidP="007C1ADA">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22063FCC" w14:textId="2967824E" w:rsidR="00503667" w:rsidRPr="009F530A" w:rsidRDefault="00EC0D63" w:rsidP="0000102E">
            <w:pPr>
              <w:rPr>
                <w:rFonts w:ascii="Times New Roman" w:eastAsia="Times New Roman" w:hAnsi="Times New Roman" w:cs="Times New Roman"/>
                <w:iCs/>
                <w:sz w:val="24"/>
                <w:szCs w:val="24"/>
                <w:lang w:val="en-US" w:eastAsia="lv-LV"/>
              </w:rPr>
            </w:pPr>
            <w:r w:rsidRPr="009F530A">
              <w:rPr>
                <w:rFonts w:ascii="Times New Roman" w:hAnsi="Times New Roman" w:cs="Times New Roman"/>
                <w:sz w:val="24"/>
                <w:szCs w:val="24"/>
              </w:rPr>
              <w:t>Nav.</w:t>
            </w:r>
          </w:p>
        </w:tc>
      </w:tr>
    </w:tbl>
    <w:p w14:paraId="3BFB1156" w14:textId="22D749D9" w:rsidR="00733379" w:rsidRPr="00A465F4" w:rsidRDefault="00D77315"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13"/>
        <w:gridCol w:w="2709"/>
        <w:gridCol w:w="5839"/>
      </w:tblGrid>
      <w:tr w:rsidR="002A1CE9" w:rsidRPr="009F530A" w14:paraId="65BDD4F9" w14:textId="4AFBDCB3" w:rsidTr="00A465F4">
        <w:tc>
          <w:tcPr>
            <w:tcW w:w="0" w:type="auto"/>
            <w:gridSpan w:val="3"/>
            <w:hideMark/>
          </w:tcPr>
          <w:p w14:paraId="3B4E913A" w14:textId="302E0EDA" w:rsidR="00B46EE6"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2A1CE9" w:rsidRPr="009F530A" w14:paraId="27BA2A9F" w14:textId="50263284" w:rsidTr="00A465F4">
        <w:tc>
          <w:tcPr>
            <w:tcW w:w="279" w:type="pct"/>
            <w:hideMark/>
          </w:tcPr>
          <w:p w14:paraId="3EA053C3" w14:textId="3DC3ECC8" w:rsidR="00503667" w:rsidRPr="009F530A" w:rsidRDefault="00EC0D63" w:rsidP="007C1ADA">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lastRenderedPageBreak/>
              <w:t>1.</w:t>
            </w:r>
          </w:p>
        </w:tc>
        <w:tc>
          <w:tcPr>
            <w:tcW w:w="1475" w:type="pct"/>
          </w:tcPr>
          <w:p w14:paraId="0A36841B" w14:textId="6CA39856" w:rsidR="00503667" w:rsidRPr="009F530A" w:rsidRDefault="00EC0D63" w:rsidP="007C1ADA">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Saistības pret Eiropas Savienību</w:t>
            </w:r>
          </w:p>
        </w:tc>
        <w:tc>
          <w:tcPr>
            <w:tcW w:w="3179" w:type="pct"/>
          </w:tcPr>
          <w:p w14:paraId="2B7CED0D" w14:textId="3838D283" w:rsidR="005A51F8" w:rsidRPr="009F530A" w:rsidRDefault="00B73F02" w:rsidP="005A51F8">
            <w:pPr>
              <w:pStyle w:val="tv213"/>
              <w:spacing w:before="0" w:beforeAutospacing="0" w:after="0" w:afterAutospacing="0" w:line="293" w:lineRule="atLeast"/>
              <w:jc w:val="both"/>
            </w:pPr>
            <w:r w:rsidRPr="009F530A">
              <w:t>N</w:t>
            </w:r>
            <w:r w:rsidR="00D77315" w:rsidRPr="009F530A">
              <w:t>oteikum</w:t>
            </w:r>
            <w:r w:rsidRPr="009F530A">
              <w:t>u projektā</w:t>
            </w:r>
            <w:r w:rsidR="00D77315" w:rsidRPr="009F530A">
              <w:t xml:space="preserve"> iekļautas tiesību normas, kas izriet no:</w:t>
            </w:r>
          </w:p>
          <w:p w14:paraId="5D75D488" w14:textId="6D5BCC0E" w:rsidR="00170328" w:rsidRPr="009F530A" w:rsidRDefault="00170328" w:rsidP="005A51F8">
            <w:pPr>
              <w:numPr>
                <w:ilvl w:val="0"/>
                <w:numId w:val="4"/>
              </w:numPr>
              <w:ind w:left="372"/>
              <w:jc w:val="both"/>
              <w:rPr>
                <w:rFonts w:ascii="Times New Roman" w:hAnsi="Times New Roman" w:cs="Times New Roman"/>
                <w:bCs/>
                <w:sz w:val="24"/>
                <w:szCs w:val="24"/>
              </w:rPr>
            </w:pPr>
            <w:r w:rsidRPr="009F530A">
              <w:rPr>
                <w:rFonts w:ascii="Times New Roman" w:hAnsi="Times New Roman" w:cs="Times New Roman"/>
                <w:bCs/>
                <w:sz w:val="24"/>
                <w:szCs w:val="24"/>
              </w:rPr>
              <w:t>Direktīva 2014/94/ES</w:t>
            </w:r>
          </w:p>
          <w:p w14:paraId="146C9E17" w14:textId="07A198F6" w:rsidR="005A51F8" w:rsidRPr="00A465F4" w:rsidRDefault="005A51F8" w:rsidP="00A465F4">
            <w:pPr>
              <w:numPr>
                <w:ilvl w:val="0"/>
                <w:numId w:val="4"/>
              </w:numPr>
              <w:ind w:left="372"/>
              <w:jc w:val="both"/>
              <w:rPr>
                <w:rFonts w:ascii="Times New Roman" w:hAnsi="Times New Roman" w:cs="Times New Roman"/>
                <w:bCs/>
                <w:sz w:val="24"/>
                <w:szCs w:val="24"/>
              </w:rPr>
            </w:pPr>
            <w:r w:rsidRPr="00A465F4">
              <w:rPr>
                <w:rFonts w:ascii="Times New Roman" w:hAnsi="Times New Roman" w:cs="Times New Roman"/>
                <w:bCs/>
                <w:sz w:val="24"/>
                <w:szCs w:val="24"/>
              </w:rPr>
              <w:t xml:space="preserve">Direktīva </w:t>
            </w:r>
            <w:r w:rsidRPr="00A465F4">
              <w:rPr>
                <w:rFonts w:ascii="Times New Roman" w:hAnsi="Times New Roman" w:cs="Times New Roman"/>
                <w:sz w:val="24"/>
                <w:szCs w:val="24"/>
              </w:rPr>
              <w:t xml:space="preserve">98/70/EK, </w:t>
            </w:r>
            <w:r w:rsidRPr="00A465F4">
              <w:rPr>
                <w:rFonts w:ascii="Times New Roman" w:hAnsi="Times New Roman" w:cs="Times New Roman"/>
                <w:bCs/>
                <w:sz w:val="24"/>
                <w:szCs w:val="24"/>
              </w:rPr>
              <w:t>konsolidētā versijā iekļaujot</w:t>
            </w:r>
          </w:p>
          <w:p w14:paraId="77D7FA55" w14:textId="56906150" w:rsidR="00503667" w:rsidRPr="009F530A" w:rsidRDefault="00EC0D63" w:rsidP="00A465F4">
            <w:pPr>
              <w:pStyle w:val="tv213"/>
              <w:numPr>
                <w:ilvl w:val="0"/>
                <w:numId w:val="5"/>
              </w:numPr>
              <w:spacing w:before="0" w:beforeAutospacing="0" w:after="0" w:afterAutospacing="0" w:line="293" w:lineRule="atLeast"/>
              <w:ind w:left="514"/>
              <w:jc w:val="both"/>
            </w:pPr>
            <w:r w:rsidRPr="009F530A">
              <w:t>Eiropas Parlamenta un Padomes 2003.gada 3.marta Direktīva </w:t>
            </w:r>
            <w:hyperlink r:id="rId8" w:tgtFrame="_blank" w:history="1">
              <w:r w:rsidRPr="009F530A">
                <w:rPr>
                  <w:rStyle w:val="Hyperlink"/>
                  <w:color w:val="auto"/>
                </w:rPr>
                <w:t>2003/17/EK</w:t>
              </w:r>
            </w:hyperlink>
            <w:r w:rsidRPr="009F530A">
              <w:t>, ar ko groza Direktīvu </w:t>
            </w:r>
            <w:hyperlink r:id="rId9" w:tgtFrame="_blank" w:history="1">
              <w:r w:rsidRPr="009F530A">
                <w:rPr>
                  <w:rStyle w:val="Hyperlink"/>
                  <w:color w:val="auto"/>
                </w:rPr>
                <w:t>98/70/EK</w:t>
              </w:r>
            </w:hyperlink>
            <w:r w:rsidRPr="009F530A">
              <w:t>, kas attiecas uz benzīna un dīzeļdegvielas kvalitāti (Dokuments attiecas uz EEZ);</w:t>
            </w:r>
          </w:p>
          <w:p w14:paraId="33AB856B" w14:textId="588C00B4" w:rsidR="00503667" w:rsidRPr="009F530A" w:rsidRDefault="00EC0D63" w:rsidP="00A465F4">
            <w:pPr>
              <w:pStyle w:val="tv213"/>
              <w:numPr>
                <w:ilvl w:val="0"/>
                <w:numId w:val="5"/>
              </w:numPr>
              <w:spacing w:before="0" w:beforeAutospacing="0" w:after="0" w:afterAutospacing="0" w:line="293" w:lineRule="atLeast"/>
              <w:ind w:left="514"/>
              <w:jc w:val="both"/>
            </w:pPr>
            <w:r w:rsidRPr="009F530A">
              <w:t>Eiropas Parlamenta un Padomes 2009.gada 23.aprīļa Direktīva </w:t>
            </w:r>
            <w:hyperlink r:id="rId10" w:tgtFrame="_blank" w:history="1">
              <w:r w:rsidRPr="009F530A">
                <w:rPr>
                  <w:rStyle w:val="Hyperlink"/>
                  <w:color w:val="auto"/>
                </w:rPr>
                <w:t>2009/30/EK</w:t>
              </w:r>
            </w:hyperlink>
            <w:r w:rsidRPr="009F530A">
              <w:t>, ar ko groza Direktīvu </w:t>
            </w:r>
            <w:hyperlink r:id="rId11" w:tgtFrame="_blank" w:history="1">
              <w:r w:rsidRPr="009F530A">
                <w:rPr>
                  <w:rStyle w:val="Hyperlink"/>
                  <w:color w:val="auto"/>
                </w:rPr>
                <w:t>98/70/EK</w:t>
              </w:r>
            </w:hyperlink>
            <w:r w:rsidRPr="009F530A">
              <w:t> attiecībā uz benzīna, dīzeļdegvielas un gāzeļļas specifikācijām un ievieš mehānismu autotransporta līdzekļos lietojamās degvielas radītās siltumnīcefekta gāzu emisijas kontrolei un samazināšanai, groza Padomes Direktīvu </w:t>
            </w:r>
            <w:hyperlink r:id="rId12" w:tgtFrame="_blank" w:history="1">
              <w:r w:rsidRPr="009F530A">
                <w:rPr>
                  <w:rStyle w:val="Hyperlink"/>
                  <w:color w:val="auto"/>
                </w:rPr>
                <w:t>1999/32/EK</w:t>
              </w:r>
            </w:hyperlink>
            <w:r w:rsidRPr="009F530A">
              <w:t> attiecībā uz tās degvielas specifikācijām, kuru lieto iekšējo ūdensceļu kuģos, un atceļ Direktīvu </w:t>
            </w:r>
            <w:hyperlink r:id="rId13" w:tgtFrame="_blank" w:history="1">
              <w:r w:rsidRPr="009F530A">
                <w:rPr>
                  <w:rStyle w:val="Hyperlink"/>
                  <w:color w:val="auto"/>
                </w:rPr>
                <w:t>93/12/EEK</w:t>
              </w:r>
            </w:hyperlink>
            <w:r w:rsidRPr="009F530A">
              <w:t>;</w:t>
            </w:r>
          </w:p>
          <w:p w14:paraId="562A1B22" w14:textId="13F60DAC" w:rsidR="00503667" w:rsidRPr="009F530A" w:rsidRDefault="00EC0D63" w:rsidP="00A465F4">
            <w:pPr>
              <w:pStyle w:val="tv213"/>
              <w:numPr>
                <w:ilvl w:val="0"/>
                <w:numId w:val="5"/>
              </w:numPr>
              <w:spacing w:before="0" w:beforeAutospacing="0" w:after="0" w:afterAutospacing="0" w:line="293" w:lineRule="atLeast"/>
              <w:ind w:left="514"/>
              <w:jc w:val="both"/>
            </w:pPr>
            <w:r w:rsidRPr="009F530A">
              <w:t>Komisijas 2014.gada 10.jūnija Direktīva </w:t>
            </w:r>
            <w:hyperlink r:id="rId14" w:tgtFrame="_blank" w:history="1">
              <w:r w:rsidRPr="009F530A">
                <w:rPr>
                  <w:rStyle w:val="Hyperlink"/>
                  <w:color w:val="auto"/>
                </w:rPr>
                <w:t>2014/77/ES</w:t>
              </w:r>
            </w:hyperlink>
            <w:r w:rsidRPr="009F530A">
              <w:t>, ar kuru groza Eiropas Parlamenta un Padomes Direktīvas </w:t>
            </w:r>
            <w:hyperlink r:id="rId15" w:tgtFrame="_blank" w:history="1">
              <w:r w:rsidRPr="009F530A">
                <w:rPr>
                  <w:rStyle w:val="Hyperlink"/>
                  <w:color w:val="auto"/>
                </w:rPr>
                <w:t>98/70/EK</w:t>
              </w:r>
            </w:hyperlink>
            <w:r w:rsidRPr="009F530A">
              <w:t xml:space="preserve"> I un II pielikumu, kas attiecas uz benzīna un dīzeļdegvielu kvalitāti; </w:t>
            </w:r>
          </w:p>
          <w:p w14:paraId="646CC0A0" w14:textId="0D9725CB" w:rsidR="00503667" w:rsidRPr="009F530A" w:rsidRDefault="00EC0D63" w:rsidP="00A465F4">
            <w:pPr>
              <w:pStyle w:val="tv213"/>
              <w:numPr>
                <w:ilvl w:val="0"/>
                <w:numId w:val="5"/>
              </w:numPr>
              <w:spacing w:before="0" w:beforeAutospacing="0" w:after="0" w:afterAutospacing="0" w:line="293" w:lineRule="atLeast"/>
              <w:ind w:left="514"/>
              <w:jc w:val="both"/>
              <w:rPr>
                <w:bCs/>
                <w:iCs/>
              </w:rPr>
            </w:pPr>
            <w:r w:rsidRPr="009F530A">
              <w:t>Eiro</w:t>
            </w:r>
            <w:r w:rsidR="008E09DF" w:rsidRPr="009F530A">
              <w:t>pas Parlamenta un Padomes 2015.</w:t>
            </w:r>
            <w:r w:rsidRPr="009F530A">
              <w:t>gada 9.septembra Direktīva (ES) </w:t>
            </w:r>
            <w:hyperlink r:id="rId16" w:tgtFrame="_blank" w:history="1">
              <w:r w:rsidRPr="009F530A">
                <w:rPr>
                  <w:rStyle w:val="Hyperlink"/>
                  <w:color w:val="auto"/>
                </w:rPr>
                <w:t>2015/1513</w:t>
              </w:r>
            </w:hyperlink>
            <w:r w:rsidRPr="009F530A">
              <w:t>, ar kuru groza Direktīvu </w:t>
            </w:r>
            <w:hyperlink r:id="rId17" w:tgtFrame="_blank" w:history="1">
              <w:r w:rsidRPr="009F530A">
                <w:rPr>
                  <w:rStyle w:val="Hyperlink"/>
                  <w:color w:val="auto"/>
                </w:rPr>
                <w:t>98/70/EK</w:t>
              </w:r>
            </w:hyperlink>
            <w:r w:rsidRPr="009F530A">
              <w:t>, kas attiecas uz benzīna un dīzeļdegvielu kvalitāti, un Direktīvu </w:t>
            </w:r>
            <w:hyperlink r:id="rId18" w:tgtFrame="_blank" w:history="1">
              <w:r w:rsidRPr="009F530A">
                <w:rPr>
                  <w:rStyle w:val="Hyperlink"/>
                  <w:color w:val="auto"/>
                </w:rPr>
                <w:t>2009/28/EK</w:t>
              </w:r>
            </w:hyperlink>
            <w:r w:rsidRPr="009F530A">
              <w:t> par atjaunojamo energoresursu izmantošanas veicināšanu</w:t>
            </w:r>
            <w:r w:rsidR="005A51F8" w:rsidRPr="009F530A">
              <w:t>.</w:t>
            </w:r>
          </w:p>
        </w:tc>
      </w:tr>
      <w:tr w:rsidR="002A1CE9" w:rsidRPr="009F530A" w14:paraId="6DC2F42F" w14:textId="3B26AFB0" w:rsidTr="00A465F4">
        <w:tc>
          <w:tcPr>
            <w:tcW w:w="279" w:type="pct"/>
          </w:tcPr>
          <w:p w14:paraId="15AB7562" w14:textId="7073BA47" w:rsidR="00503667" w:rsidRPr="009F530A" w:rsidRDefault="00EC0D63" w:rsidP="007C1ADA">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2.</w:t>
            </w:r>
          </w:p>
        </w:tc>
        <w:tc>
          <w:tcPr>
            <w:tcW w:w="1475" w:type="pct"/>
          </w:tcPr>
          <w:p w14:paraId="2A95628A" w14:textId="141D836F" w:rsidR="00503667" w:rsidRPr="009F530A" w:rsidRDefault="00EC0D63" w:rsidP="007C1ADA">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Citas starptautiskās saistības</w:t>
            </w:r>
          </w:p>
        </w:tc>
        <w:tc>
          <w:tcPr>
            <w:tcW w:w="3179" w:type="pct"/>
          </w:tcPr>
          <w:p w14:paraId="562ECC8D" w14:textId="181AE968" w:rsidR="00503667" w:rsidRPr="009F530A" w:rsidRDefault="00EC0D63" w:rsidP="00FD71FB">
            <w:pPr>
              <w:tabs>
                <w:tab w:val="left" w:pos="2850"/>
              </w:tabs>
              <w:contextualSpacing/>
              <w:rPr>
                <w:rFonts w:ascii="Times New Roman" w:eastAsia="Times New Roman" w:hAnsi="Times New Roman" w:cs="Times New Roman"/>
                <w:bCs/>
                <w:iCs/>
                <w:sz w:val="24"/>
                <w:szCs w:val="24"/>
                <w:lang w:eastAsia="lv-LV"/>
              </w:rPr>
            </w:pPr>
            <w:r w:rsidRPr="009F530A">
              <w:rPr>
                <w:rFonts w:ascii="Times New Roman" w:hAnsi="Times New Roman" w:cs="Times New Roman"/>
                <w:sz w:val="24"/>
                <w:szCs w:val="24"/>
              </w:rPr>
              <w:t>Projekts šo jomu neskar.</w:t>
            </w:r>
            <w:r w:rsidR="00FD71FB">
              <w:rPr>
                <w:rFonts w:ascii="Times New Roman" w:hAnsi="Times New Roman" w:cs="Times New Roman"/>
                <w:sz w:val="24"/>
                <w:szCs w:val="24"/>
              </w:rPr>
              <w:tab/>
            </w:r>
          </w:p>
        </w:tc>
      </w:tr>
      <w:tr w:rsidR="002A1CE9" w:rsidRPr="009F530A" w14:paraId="10F83307" w14:textId="5C6A205A" w:rsidTr="00A465F4">
        <w:tc>
          <w:tcPr>
            <w:tcW w:w="279" w:type="pct"/>
          </w:tcPr>
          <w:p w14:paraId="28564740" w14:textId="7C8440DB" w:rsidR="00503667" w:rsidRPr="009F530A" w:rsidRDefault="00EC0D63" w:rsidP="007C1ADA">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3.</w:t>
            </w:r>
          </w:p>
        </w:tc>
        <w:tc>
          <w:tcPr>
            <w:tcW w:w="1475" w:type="pct"/>
          </w:tcPr>
          <w:p w14:paraId="474D5C49" w14:textId="3A6EB681" w:rsidR="00503667" w:rsidRPr="009F530A" w:rsidRDefault="00EC0D63" w:rsidP="007C1ADA">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Cita informācija</w:t>
            </w:r>
          </w:p>
        </w:tc>
        <w:tc>
          <w:tcPr>
            <w:tcW w:w="3179" w:type="pct"/>
          </w:tcPr>
          <w:p w14:paraId="6E680272" w14:textId="74382620" w:rsidR="00503667" w:rsidRPr="009F530A" w:rsidRDefault="00EC0D63" w:rsidP="0000102E">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Nav.</w:t>
            </w:r>
          </w:p>
        </w:tc>
      </w:tr>
    </w:tbl>
    <w:p w14:paraId="1B876B0E" w14:textId="1D749687" w:rsidR="00B46EE6" w:rsidRPr="00A465F4" w:rsidRDefault="00B46EE6"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W w:w="5024" w:type="pct"/>
        <w:tblLook w:val="04A0" w:firstRow="1" w:lastRow="0" w:firstColumn="1" w:lastColumn="0" w:noHBand="0" w:noVBand="1"/>
      </w:tblPr>
      <w:tblGrid>
        <w:gridCol w:w="1626"/>
        <w:gridCol w:w="2423"/>
        <w:gridCol w:w="2471"/>
        <w:gridCol w:w="2584"/>
      </w:tblGrid>
      <w:tr w:rsidR="002A1CE9" w:rsidRPr="009F530A" w14:paraId="47341335" w14:textId="77777777" w:rsidTr="00A465F4">
        <w:tc>
          <w:tcPr>
            <w:tcW w:w="5000" w:type="pct"/>
            <w:gridSpan w:val="4"/>
            <w:hideMark/>
          </w:tcPr>
          <w:p w14:paraId="50E047EC" w14:textId="77777777" w:rsidR="00B46EE6" w:rsidRPr="009F530A" w:rsidRDefault="00EC0D63" w:rsidP="007C1ADA">
            <w:pPr>
              <w:spacing w:before="100" w:beforeAutospacing="1" w:after="100" w:afterAutospacing="1" w:line="293" w:lineRule="atLeast"/>
              <w:ind w:left="112"/>
              <w:jc w:val="center"/>
              <w:rPr>
                <w:rFonts w:ascii="Times New Roman" w:eastAsia="Times New Roman" w:hAnsi="Times New Roman" w:cs="Times New Roman"/>
                <w:b/>
                <w:bCs/>
                <w:sz w:val="24"/>
                <w:szCs w:val="24"/>
                <w:lang w:eastAsia="lv-LV"/>
              </w:rPr>
            </w:pPr>
            <w:r w:rsidRPr="009F530A">
              <w:rPr>
                <w:rFonts w:ascii="Times New Roman" w:eastAsia="Times New Roman" w:hAnsi="Times New Roman" w:cs="Times New Roman"/>
                <w:b/>
                <w:bCs/>
                <w:sz w:val="24"/>
                <w:szCs w:val="24"/>
                <w:lang w:eastAsia="lv-LV"/>
              </w:rPr>
              <w:t>1. tabula</w:t>
            </w:r>
            <w:r w:rsidRPr="009F530A">
              <w:rPr>
                <w:rFonts w:ascii="Times New Roman" w:eastAsia="Times New Roman" w:hAnsi="Times New Roman" w:cs="Times New Roman"/>
                <w:b/>
                <w:bCs/>
                <w:sz w:val="24"/>
                <w:szCs w:val="24"/>
                <w:lang w:eastAsia="lv-LV"/>
              </w:rPr>
              <w:br/>
              <w:t>Tiesību akta projekta atbilstība ES tiesību aktiem</w:t>
            </w:r>
          </w:p>
        </w:tc>
      </w:tr>
      <w:tr w:rsidR="002A1CE9" w:rsidRPr="009F530A" w14:paraId="4A60F008" w14:textId="77777777" w:rsidTr="00FD71FB">
        <w:tc>
          <w:tcPr>
            <w:tcW w:w="893" w:type="pct"/>
            <w:hideMark/>
          </w:tcPr>
          <w:p w14:paraId="33D1B65D" w14:textId="77777777" w:rsidR="00B46EE6"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Attiecīgā ES tiesību akta datums, numurs un nosaukums</w:t>
            </w:r>
          </w:p>
        </w:tc>
        <w:tc>
          <w:tcPr>
            <w:tcW w:w="4107" w:type="pct"/>
            <w:gridSpan w:val="3"/>
          </w:tcPr>
          <w:p w14:paraId="0A39117F" w14:textId="5CD4E311" w:rsidR="00B46EE6" w:rsidRPr="009F530A" w:rsidRDefault="005A51F8" w:rsidP="0000102E">
            <w:pPr>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bCs/>
                <w:sz w:val="24"/>
                <w:szCs w:val="24"/>
                <w:lang w:eastAsia="lv-LV"/>
              </w:rPr>
              <w:t>Direktīva 98/70/EK</w:t>
            </w:r>
          </w:p>
        </w:tc>
      </w:tr>
      <w:tr w:rsidR="002A1CE9" w:rsidRPr="009F530A" w14:paraId="5B287A17" w14:textId="77777777" w:rsidTr="00FD71FB">
        <w:tc>
          <w:tcPr>
            <w:tcW w:w="893" w:type="pct"/>
            <w:hideMark/>
          </w:tcPr>
          <w:p w14:paraId="03E533E8" w14:textId="77777777" w:rsidR="00B46EE6" w:rsidRPr="009F530A" w:rsidRDefault="00EC0D63" w:rsidP="007C1AD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w:t>
            </w:r>
          </w:p>
        </w:tc>
        <w:tc>
          <w:tcPr>
            <w:tcW w:w="1331" w:type="pct"/>
            <w:hideMark/>
          </w:tcPr>
          <w:p w14:paraId="0B050C53" w14:textId="77777777" w:rsidR="00B46EE6" w:rsidRPr="009F530A" w:rsidRDefault="00EC0D63" w:rsidP="007C1AD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B</w:t>
            </w:r>
          </w:p>
        </w:tc>
        <w:tc>
          <w:tcPr>
            <w:tcW w:w="1357" w:type="pct"/>
            <w:hideMark/>
          </w:tcPr>
          <w:p w14:paraId="5BB672BD" w14:textId="77777777" w:rsidR="00B46EE6" w:rsidRPr="009F530A" w:rsidRDefault="00EC0D63" w:rsidP="000010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C</w:t>
            </w:r>
          </w:p>
        </w:tc>
        <w:tc>
          <w:tcPr>
            <w:tcW w:w="1420" w:type="pct"/>
            <w:hideMark/>
          </w:tcPr>
          <w:p w14:paraId="015CAB69" w14:textId="77777777" w:rsidR="00B46EE6" w:rsidRPr="009F530A" w:rsidRDefault="00EC0D63" w:rsidP="000010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D</w:t>
            </w:r>
          </w:p>
        </w:tc>
      </w:tr>
      <w:tr w:rsidR="002A1CE9" w:rsidRPr="009F530A" w14:paraId="3FCCDF49" w14:textId="77777777" w:rsidTr="00FD71FB">
        <w:tc>
          <w:tcPr>
            <w:tcW w:w="893" w:type="pct"/>
            <w:hideMark/>
          </w:tcPr>
          <w:p w14:paraId="3AE09EDF" w14:textId="77777777" w:rsidR="00B46EE6"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331" w:type="pct"/>
            <w:hideMark/>
          </w:tcPr>
          <w:p w14:paraId="563BA023" w14:textId="73DEF938" w:rsidR="0000102E" w:rsidRPr="009F530A" w:rsidRDefault="00EC0D63" w:rsidP="007C1ADA">
            <w:pPr>
              <w:rPr>
                <w:rFonts w:ascii="Times New Roman" w:eastAsia="Times New Roman" w:hAnsi="Times New Roman" w:cs="Times New Roman"/>
                <w:b/>
                <w:sz w:val="24"/>
                <w:szCs w:val="24"/>
                <w:lang w:eastAsia="lv-LV"/>
              </w:rPr>
            </w:pPr>
            <w:r w:rsidRPr="009F530A">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57" w:type="pct"/>
            <w:hideMark/>
          </w:tcPr>
          <w:p w14:paraId="487B315C" w14:textId="77777777" w:rsidR="00B46EE6" w:rsidRPr="009F530A" w:rsidRDefault="00EC0D63"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w:t>
            </w:r>
          </w:p>
          <w:p w14:paraId="39217DAC"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Ja attiecīgā ES tiesību akta vienība tiek pārņemta vai ieviesta </w:t>
            </w:r>
            <w:r w:rsidRPr="009F530A">
              <w:rPr>
                <w:rFonts w:ascii="Times New Roman" w:eastAsia="Times New Roman" w:hAnsi="Times New Roman" w:cs="Times New Roman"/>
                <w:sz w:val="24"/>
                <w:szCs w:val="24"/>
                <w:lang w:eastAsia="lv-LV"/>
              </w:rPr>
              <w:lastRenderedPageBreak/>
              <w:t>daļēji, sniedz attiecīgu skaidrojumu, kā arī precīzi norāda, kad un kādā veidā ES tiesību akta vienība tiks pārņemta vai ieviesta pilnībā.</w:t>
            </w:r>
          </w:p>
          <w:p w14:paraId="54DF14DD"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Norāda institūciju, kas ir atbildīga par šo saistību izpildi pilnībā</w:t>
            </w:r>
          </w:p>
        </w:tc>
        <w:tc>
          <w:tcPr>
            <w:tcW w:w="1420" w:type="pct"/>
            <w:hideMark/>
          </w:tcPr>
          <w:p w14:paraId="0D3032E9" w14:textId="77777777" w:rsidR="00B46EE6" w:rsidRPr="009F530A" w:rsidRDefault="00EC0D63"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Informācija par to, vai šīs tabulas B ailē minētās projekta vienības paredz stingrākas prasības nekā šīs tabulas A ailē minētās ES tiesību akta vienības.</w:t>
            </w:r>
          </w:p>
          <w:p w14:paraId="0D1DD935"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Ja projekts satur stingrākas prasības nekā attiecīgais ES tiesību akts, norāda pamatojumu un samērīgumu.</w:t>
            </w:r>
          </w:p>
          <w:p w14:paraId="4D228172"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5A51F8" w:rsidRPr="009F530A" w14:paraId="3FACAC39" w14:textId="77777777" w:rsidTr="00FD71FB">
        <w:tc>
          <w:tcPr>
            <w:tcW w:w="893" w:type="pct"/>
          </w:tcPr>
          <w:p w14:paraId="1ABE59A1" w14:textId="5E168EF9" w:rsidR="005A51F8" w:rsidRPr="009F530A" w:rsidRDefault="00AD6839"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2.panta 3.punkts</w:t>
            </w:r>
          </w:p>
        </w:tc>
        <w:tc>
          <w:tcPr>
            <w:tcW w:w="1331" w:type="pct"/>
          </w:tcPr>
          <w:p w14:paraId="13813927" w14:textId="10CDF566" w:rsidR="005A51F8" w:rsidRPr="009F530A" w:rsidRDefault="00AD6839"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441292">
              <w:rPr>
                <w:rFonts w:ascii="Times New Roman" w:eastAsia="Times New Roman" w:hAnsi="Times New Roman" w:cs="Times New Roman"/>
                <w:sz w:val="24"/>
                <w:szCs w:val="24"/>
                <w:lang w:eastAsia="lv-LV"/>
              </w:rPr>
              <w:t>1.pielikuma 1.piezīme</w:t>
            </w:r>
          </w:p>
        </w:tc>
        <w:tc>
          <w:tcPr>
            <w:tcW w:w="1357" w:type="pct"/>
          </w:tcPr>
          <w:p w14:paraId="5F7A4177" w14:textId="5967567C" w:rsidR="005A51F8" w:rsidRPr="009F530A" w:rsidRDefault="00C90872"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702E6A30" w14:textId="7D76B04B" w:rsidR="005A51F8" w:rsidRPr="009F530A" w:rsidRDefault="00C90872"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219B40A" w14:textId="77777777" w:rsidTr="00FD71FB">
        <w:tc>
          <w:tcPr>
            <w:tcW w:w="893" w:type="pct"/>
          </w:tcPr>
          <w:p w14:paraId="5E57D90D" w14:textId="06B20858"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3.panta 2.punkts</w:t>
            </w:r>
          </w:p>
        </w:tc>
        <w:tc>
          <w:tcPr>
            <w:tcW w:w="1331" w:type="pct"/>
          </w:tcPr>
          <w:p w14:paraId="6B2EB976" w14:textId="38B616A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441292">
              <w:rPr>
                <w:rFonts w:ascii="Times New Roman" w:eastAsia="Times New Roman" w:hAnsi="Times New Roman" w:cs="Times New Roman"/>
                <w:sz w:val="24"/>
                <w:szCs w:val="24"/>
                <w:lang w:eastAsia="lv-LV"/>
              </w:rPr>
              <w:t>6</w:t>
            </w:r>
            <w:r w:rsidRPr="009F530A">
              <w:rPr>
                <w:rFonts w:ascii="Times New Roman" w:eastAsia="Times New Roman" w:hAnsi="Times New Roman" w:cs="Times New Roman"/>
                <w:sz w:val="24"/>
                <w:szCs w:val="24"/>
                <w:lang w:eastAsia="lv-LV"/>
              </w:rPr>
              <w:t>.punkts</w:t>
            </w:r>
          </w:p>
        </w:tc>
        <w:tc>
          <w:tcPr>
            <w:tcW w:w="1357" w:type="pct"/>
          </w:tcPr>
          <w:p w14:paraId="7A8DD9BA" w14:textId="25F739EB"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2EE6AA22" w14:textId="1875AAA4"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01C38069" w14:textId="77777777" w:rsidTr="00FD71FB">
        <w:tc>
          <w:tcPr>
            <w:tcW w:w="893" w:type="pct"/>
          </w:tcPr>
          <w:p w14:paraId="0969D7C9" w14:textId="28BA57B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3. panta 3.punkts</w:t>
            </w:r>
          </w:p>
        </w:tc>
        <w:tc>
          <w:tcPr>
            <w:tcW w:w="1331" w:type="pct"/>
          </w:tcPr>
          <w:p w14:paraId="3C87F0F1" w14:textId="5C2013CA" w:rsidR="00170328" w:rsidRPr="009F530A" w:rsidRDefault="00441292" w:rsidP="0017032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1.pielikuma 3.piezīme</w:t>
            </w:r>
          </w:p>
        </w:tc>
        <w:tc>
          <w:tcPr>
            <w:tcW w:w="1357" w:type="pct"/>
          </w:tcPr>
          <w:p w14:paraId="46332CDC" w14:textId="752006E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344CCF8F" w14:textId="68B4D38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8FD3C8E" w14:textId="77777777" w:rsidTr="00FD71FB">
        <w:tc>
          <w:tcPr>
            <w:tcW w:w="893" w:type="pct"/>
          </w:tcPr>
          <w:p w14:paraId="0F1CCDBC" w14:textId="0C4E278E"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3.panta 4.punkts</w:t>
            </w:r>
          </w:p>
        </w:tc>
        <w:tc>
          <w:tcPr>
            <w:tcW w:w="1331" w:type="pct"/>
          </w:tcPr>
          <w:p w14:paraId="5F0D6090" w14:textId="3C9039C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441292">
              <w:rPr>
                <w:rFonts w:ascii="Times New Roman" w:eastAsia="Times New Roman" w:hAnsi="Times New Roman" w:cs="Times New Roman"/>
                <w:sz w:val="24"/>
                <w:szCs w:val="24"/>
                <w:lang w:eastAsia="lv-LV"/>
              </w:rPr>
              <w:t>1.</w:t>
            </w:r>
            <w:r w:rsidRPr="009F530A">
              <w:rPr>
                <w:rFonts w:ascii="Times New Roman" w:eastAsia="Times New Roman" w:hAnsi="Times New Roman" w:cs="Times New Roman"/>
                <w:sz w:val="24"/>
                <w:szCs w:val="24"/>
                <w:lang w:eastAsia="lv-LV"/>
              </w:rPr>
              <w:t xml:space="preserve">pielikuma </w:t>
            </w:r>
            <w:r w:rsidR="00441292">
              <w:rPr>
                <w:rFonts w:ascii="Times New Roman" w:eastAsia="Times New Roman" w:hAnsi="Times New Roman" w:cs="Times New Roman"/>
                <w:sz w:val="24"/>
                <w:szCs w:val="24"/>
                <w:lang w:eastAsia="lv-LV"/>
              </w:rPr>
              <w:t>5.piezīme</w:t>
            </w:r>
          </w:p>
        </w:tc>
        <w:tc>
          <w:tcPr>
            <w:tcW w:w="1357" w:type="pct"/>
          </w:tcPr>
          <w:p w14:paraId="1F3E6827" w14:textId="7C23001C"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382E72F7" w14:textId="65C822DD"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00D39908" w14:textId="77777777" w:rsidTr="00FD71FB">
        <w:tc>
          <w:tcPr>
            <w:tcW w:w="893" w:type="pct"/>
          </w:tcPr>
          <w:p w14:paraId="577FBD33" w14:textId="3D99ABD6"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4.panta 1.punkts</w:t>
            </w:r>
          </w:p>
        </w:tc>
        <w:tc>
          <w:tcPr>
            <w:tcW w:w="1331" w:type="pct"/>
          </w:tcPr>
          <w:p w14:paraId="5A8A4230" w14:textId="0405156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441292">
              <w:rPr>
                <w:rFonts w:ascii="Times New Roman" w:eastAsia="Times New Roman" w:hAnsi="Times New Roman" w:cs="Times New Roman"/>
                <w:sz w:val="24"/>
                <w:szCs w:val="24"/>
                <w:lang w:eastAsia="lv-LV"/>
              </w:rPr>
              <w:t>7.</w:t>
            </w:r>
            <w:r w:rsidRPr="009F530A">
              <w:rPr>
                <w:rFonts w:ascii="Times New Roman" w:eastAsia="Times New Roman" w:hAnsi="Times New Roman" w:cs="Times New Roman"/>
                <w:sz w:val="24"/>
                <w:szCs w:val="24"/>
                <w:lang w:eastAsia="lv-LV"/>
              </w:rPr>
              <w:t>punkts, pielikuma</w:t>
            </w:r>
            <w:r w:rsidR="00C9777E">
              <w:rPr>
                <w:rFonts w:ascii="Times New Roman" w:eastAsia="Times New Roman" w:hAnsi="Times New Roman" w:cs="Times New Roman"/>
                <w:sz w:val="24"/>
                <w:szCs w:val="24"/>
                <w:lang w:eastAsia="lv-LV"/>
              </w:rPr>
              <w:t xml:space="preserve"> 3.punkts</w:t>
            </w:r>
          </w:p>
        </w:tc>
        <w:tc>
          <w:tcPr>
            <w:tcW w:w="1357" w:type="pct"/>
          </w:tcPr>
          <w:p w14:paraId="051A2487" w14:textId="49EE595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56F7F089" w14:textId="57E55AE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7BD1926F" w14:textId="77777777" w:rsidTr="00FD71FB">
        <w:tc>
          <w:tcPr>
            <w:tcW w:w="893" w:type="pct"/>
          </w:tcPr>
          <w:p w14:paraId="50A2728A" w14:textId="152C9E0B"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4.panta 2.punkts</w:t>
            </w:r>
          </w:p>
        </w:tc>
        <w:tc>
          <w:tcPr>
            <w:tcW w:w="1331" w:type="pct"/>
          </w:tcPr>
          <w:p w14:paraId="0310FF8A" w14:textId="521209C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441292">
              <w:rPr>
                <w:rFonts w:ascii="Times New Roman" w:eastAsia="Times New Roman" w:hAnsi="Times New Roman" w:cs="Times New Roman"/>
                <w:sz w:val="24"/>
                <w:szCs w:val="24"/>
                <w:lang w:eastAsia="lv-LV"/>
              </w:rPr>
              <w:t>2.</w:t>
            </w:r>
            <w:r w:rsidRPr="009F530A">
              <w:rPr>
                <w:rFonts w:ascii="Times New Roman" w:eastAsia="Times New Roman" w:hAnsi="Times New Roman" w:cs="Times New Roman"/>
                <w:sz w:val="24"/>
                <w:szCs w:val="24"/>
                <w:lang w:eastAsia="lv-LV"/>
              </w:rPr>
              <w:t>pielikuma</w:t>
            </w:r>
            <w:r w:rsidR="00C9777E">
              <w:rPr>
                <w:rFonts w:ascii="Times New Roman" w:eastAsia="Times New Roman" w:hAnsi="Times New Roman" w:cs="Times New Roman"/>
                <w:sz w:val="24"/>
                <w:szCs w:val="24"/>
                <w:lang w:eastAsia="lv-LV"/>
              </w:rPr>
              <w:t xml:space="preserve"> </w:t>
            </w:r>
            <w:r w:rsidR="00441292">
              <w:rPr>
                <w:rFonts w:ascii="Times New Roman" w:eastAsia="Times New Roman" w:hAnsi="Times New Roman" w:cs="Times New Roman"/>
                <w:sz w:val="24"/>
                <w:szCs w:val="24"/>
                <w:lang w:eastAsia="lv-LV"/>
              </w:rPr>
              <w:t>5</w:t>
            </w:r>
            <w:r w:rsidR="00C9777E">
              <w:rPr>
                <w:rFonts w:ascii="Times New Roman" w:eastAsia="Times New Roman" w:hAnsi="Times New Roman" w:cs="Times New Roman"/>
                <w:sz w:val="24"/>
                <w:szCs w:val="24"/>
                <w:lang w:eastAsia="lv-LV"/>
              </w:rPr>
              <w:t>.punkts</w:t>
            </w:r>
          </w:p>
        </w:tc>
        <w:tc>
          <w:tcPr>
            <w:tcW w:w="1357" w:type="pct"/>
          </w:tcPr>
          <w:p w14:paraId="3E28032F" w14:textId="14DC5D8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200F08CE" w14:textId="64FBE9B0"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571D18F1" w14:textId="77777777" w:rsidTr="00FD71FB">
        <w:tc>
          <w:tcPr>
            <w:tcW w:w="893" w:type="pct"/>
          </w:tcPr>
          <w:p w14:paraId="31EBB718" w14:textId="3BCC884F"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8.panta 1. un 2.punkts</w:t>
            </w:r>
          </w:p>
        </w:tc>
        <w:tc>
          <w:tcPr>
            <w:tcW w:w="1331" w:type="pct"/>
          </w:tcPr>
          <w:p w14:paraId="50C8BF4B" w14:textId="77777777" w:rsidR="009D2F03"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9D2F03">
              <w:rPr>
                <w:rFonts w:ascii="Times New Roman" w:eastAsia="Times New Roman" w:hAnsi="Times New Roman" w:cs="Times New Roman"/>
                <w:sz w:val="24"/>
                <w:szCs w:val="24"/>
                <w:lang w:eastAsia="lv-LV"/>
              </w:rPr>
              <w:t>III-V nodaļa</w:t>
            </w:r>
          </w:p>
          <w:p w14:paraId="3ADBD67B" w14:textId="6AFC4868" w:rsidR="00170328" w:rsidRPr="009F530A" w:rsidRDefault="009D2F03" w:rsidP="0017032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pielikumi</w:t>
            </w:r>
          </w:p>
        </w:tc>
        <w:tc>
          <w:tcPr>
            <w:tcW w:w="1357" w:type="pct"/>
          </w:tcPr>
          <w:p w14:paraId="1EC00075" w14:textId="2F40FE3F"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46DE3ED4" w14:textId="6B6693A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EFCEAC0" w14:textId="77777777" w:rsidTr="00FD71FB">
        <w:tc>
          <w:tcPr>
            <w:tcW w:w="893" w:type="pct"/>
          </w:tcPr>
          <w:p w14:paraId="69A293C9" w14:textId="01D5C34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8.a panta 2.punkts</w:t>
            </w:r>
          </w:p>
        </w:tc>
        <w:tc>
          <w:tcPr>
            <w:tcW w:w="1331" w:type="pct"/>
          </w:tcPr>
          <w:p w14:paraId="1D0C718B" w14:textId="2B540547"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9D2F03">
              <w:rPr>
                <w:rFonts w:ascii="Times New Roman" w:eastAsia="Times New Roman" w:hAnsi="Times New Roman" w:cs="Times New Roman"/>
                <w:sz w:val="24"/>
                <w:szCs w:val="24"/>
                <w:lang w:eastAsia="lv-LV"/>
              </w:rPr>
              <w:t xml:space="preserve">1.pielikuma 10.punkts, 3.pielikuma 6.punkts </w:t>
            </w:r>
          </w:p>
        </w:tc>
        <w:tc>
          <w:tcPr>
            <w:tcW w:w="1357" w:type="pct"/>
          </w:tcPr>
          <w:p w14:paraId="016CAE14" w14:textId="593B1C3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415EDACE" w14:textId="4BB5A2B9"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Projekts nesatur stingrākas prasības nekā </w:t>
            </w:r>
            <w:r w:rsidRPr="009F530A">
              <w:rPr>
                <w:rFonts w:ascii="Times New Roman" w:eastAsia="Times New Roman" w:hAnsi="Times New Roman" w:cs="Times New Roman"/>
                <w:sz w:val="24"/>
                <w:szCs w:val="24"/>
                <w:lang w:eastAsia="lv-LV"/>
              </w:rPr>
              <w:lastRenderedPageBreak/>
              <w:t>attiecīgais ES tiesību akts.</w:t>
            </w:r>
          </w:p>
        </w:tc>
      </w:tr>
      <w:tr w:rsidR="00170328" w:rsidRPr="009F530A" w14:paraId="0ED187DD" w14:textId="77777777" w:rsidTr="00FD71FB">
        <w:tc>
          <w:tcPr>
            <w:tcW w:w="893" w:type="pct"/>
          </w:tcPr>
          <w:p w14:paraId="27C7B783" w14:textId="761BE6FC"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I pielikums</w:t>
            </w:r>
          </w:p>
        </w:tc>
        <w:tc>
          <w:tcPr>
            <w:tcW w:w="1331" w:type="pct"/>
          </w:tcPr>
          <w:p w14:paraId="33D7E92B" w14:textId="36BC3056"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9D2F03">
              <w:rPr>
                <w:rFonts w:ascii="Times New Roman" w:eastAsia="Times New Roman" w:hAnsi="Times New Roman" w:cs="Times New Roman"/>
                <w:sz w:val="24"/>
                <w:szCs w:val="24"/>
                <w:lang w:eastAsia="lv-LV"/>
              </w:rPr>
              <w:t>1.pielikums</w:t>
            </w:r>
          </w:p>
        </w:tc>
        <w:tc>
          <w:tcPr>
            <w:tcW w:w="1357" w:type="pct"/>
          </w:tcPr>
          <w:p w14:paraId="7D18E285" w14:textId="40E50AC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3EB70898" w14:textId="2DDA67CE"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6CCAD63" w14:textId="77777777" w:rsidTr="00FD71FB">
        <w:tc>
          <w:tcPr>
            <w:tcW w:w="893" w:type="pct"/>
          </w:tcPr>
          <w:p w14:paraId="1755D831" w14:textId="02ED7B6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II pielikums</w:t>
            </w:r>
          </w:p>
        </w:tc>
        <w:tc>
          <w:tcPr>
            <w:tcW w:w="1331" w:type="pct"/>
          </w:tcPr>
          <w:p w14:paraId="53539E66" w14:textId="7BBDF1EC"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9D2F03">
              <w:rPr>
                <w:rFonts w:ascii="Times New Roman" w:eastAsia="Times New Roman" w:hAnsi="Times New Roman" w:cs="Times New Roman"/>
                <w:sz w:val="24"/>
                <w:szCs w:val="24"/>
                <w:lang w:eastAsia="lv-LV"/>
              </w:rPr>
              <w:t>3.</w:t>
            </w:r>
            <w:r w:rsidRPr="009F530A">
              <w:rPr>
                <w:rFonts w:ascii="Times New Roman" w:eastAsia="Times New Roman" w:hAnsi="Times New Roman" w:cs="Times New Roman"/>
                <w:sz w:val="24"/>
                <w:szCs w:val="24"/>
                <w:lang w:eastAsia="lv-LV"/>
              </w:rPr>
              <w:t>pielikum</w:t>
            </w:r>
            <w:r w:rsidR="00C9777E">
              <w:rPr>
                <w:rFonts w:ascii="Times New Roman" w:eastAsia="Times New Roman" w:hAnsi="Times New Roman" w:cs="Times New Roman"/>
                <w:sz w:val="24"/>
                <w:szCs w:val="24"/>
                <w:lang w:eastAsia="lv-LV"/>
              </w:rPr>
              <w:t>s</w:t>
            </w:r>
          </w:p>
        </w:tc>
        <w:tc>
          <w:tcPr>
            <w:tcW w:w="1357" w:type="pct"/>
          </w:tcPr>
          <w:p w14:paraId="49F09DA6" w14:textId="2ECD0D93"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2EDCC70B" w14:textId="0B8E7BAD"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7C630ED5" w14:textId="77777777" w:rsidTr="00FD71FB">
        <w:tc>
          <w:tcPr>
            <w:tcW w:w="893" w:type="pct"/>
          </w:tcPr>
          <w:p w14:paraId="5524983D" w14:textId="397C6F3F"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III pielikums</w:t>
            </w:r>
          </w:p>
        </w:tc>
        <w:tc>
          <w:tcPr>
            <w:tcW w:w="1331" w:type="pct"/>
          </w:tcPr>
          <w:p w14:paraId="77F13DDD" w14:textId="0286E66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Nav piemērojams, jo attiecas uz dalībvalstīm, kurās vasarā nav zema gaisa temperatūra</w:t>
            </w:r>
          </w:p>
        </w:tc>
        <w:tc>
          <w:tcPr>
            <w:tcW w:w="1357" w:type="pct"/>
          </w:tcPr>
          <w:p w14:paraId="7CDF4217" w14:textId="742B42F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1BF76179" w14:textId="3AB4AA2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32D7382C" w14:textId="77777777" w:rsidTr="00FD71FB">
        <w:tc>
          <w:tcPr>
            <w:tcW w:w="893" w:type="pct"/>
            <w:hideMark/>
          </w:tcPr>
          <w:p w14:paraId="119D855A" w14:textId="77777777" w:rsidR="00170328" w:rsidRPr="009F530A" w:rsidRDefault="00170328" w:rsidP="00754A0D">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Attiecīgā ES tiesību akta datums, numurs un nosaukums</w:t>
            </w:r>
          </w:p>
        </w:tc>
        <w:tc>
          <w:tcPr>
            <w:tcW w:w="4107" w:type="pct"/>
            <w:gridSpan w:val="3"/>
          </w:tcPr>
          <w:p w14:paraId="63118990" w14:textId="4B94CF53" w:rsidR="00170328" w:rsidRPr="009F530A" w:rsidRDefault="00170328" w:rsidP="00754A0D">
            <w:pPr>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bCs/>
                <w:sz w:val="24"/>
                <w:szCs w:val="24"/>
                <w:lang w:eastAsia="lv-LV"/>
              </w:rPr>
              <w:t xml:space="preserve">Direktīva </w:t>
            </w:r>
            <w:r w:rsidR="00A53477">
              <w:rPr>
                <w:rFonts w:ascii="Times New Roman" w:eastAsia="Times New Roman" w:hAnsi="Times New Roman" w:cs="Times New Roman"/>
                <w:bCs/>
                <w:sz w:val="24"/>
                <w:szCs w:val="24"/>
                <w:lang w:eastAsia="lv-LV"/>
              </w:rPr>
              <w:t>2014/94/ES</w:t>
            </w:r>
          </w:p>
        </w:tc>
      </w:tr>
      <w:tr w:rsidR="00170328" w:rsidRPr="009F530A" w14:paraId="166F56B7" w14:textId="77777777" w:rsidTr="00FD71FB">
        <w:tc>
          <w:tcPr>
            <w:tcW w:w="893" w:type="pct"/>
            <w:hideMark/>
          </w:tcPr>
          <w:p w14:paraId="0592C82E"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w:t>
            </w:r>
          </w:p>
        </w:tc>
        <w:tc>
          <w:tcPr>
            <w:tcW w:w="1331" w:type="pct"/>
            <w:hideMark/>
          </w:tcPr>
          <w:p w14:paraId="6B16382B"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B</w:t>
            </w:r>
          </w:p>
        </w:tc>
        <w:tc>
          <w:tcPr>
            <w:tcW w:w="1357" w:type="pct"/>
            <w:hideMark/>
          </w:tcPr>
          <w:p w14:paraId="4E75B0F2"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C</w:t>
            </w:r>
          </w:p>
        </w:tc>
        <w:tc>
          <w:tcPr>
            <w:tcW w:w="1420" w:type="pct"/>
            <w:hideMark/>
          </w:tcPr>
          <w:p w14:paraId="14122057"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D</w:t>
            </w:r>
          </w:p>
        </w:tc>
      </w:tr>
      <w:tr w:rsidR="00170328" w:rsidRPr="009F530A" w14:paraId="038D74FF" w14:textId="77777777" w:rsidTr="00FD71FB">
        <w:tc>
          <w:tcPr>
            <w:tcW w:w="893" w:type="pct"/>
          </w:tcPr>
          <w:p w14:paraId="6ACA2F01" w14:textId="0F767C88" w:rsidR="00170328" w:rsidRPr="009F530A" w:rsidRDefault="00170328" w:rsidP="00A465F4">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II pielikuma 2.2.punkts</w:t>
            </w:r>
          </w:p>
        </w:tc>
        <w:tc>
          <w:tcPr>
            <w:tcW w:w="1331" w:type="pct"/>
          </w:tcPr>
          <w:p w14:paraId="697A3092" w14:textId="40F6E7F1" w:rsidR="00170328" w:rsidRPr="009F530A" w:rsidRDefault="00170328" w:rsidP="00A465F4">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A53477">
              <w:rPr>
                <w:rFonts w:ascii="Times New Roman" w:eastAsia="Times New Roman" w:hAnsi="Times New Roman" w:cs="Times New Roman"/>
                <w:sz w:val="24"/>
                <w:szCs w:val="24"/>
                <w:lang w:eastAsia="lv-LV"/>
              </w:rPr>
              <w:t>1</w:t>
            </w:r>
            <w:r w:rsidR="009D2F03">
              <w:rPr>
                <w:rFonts w:ascii="Times New Roman" w:eastAsia="Times New Roman" w:hAnsi="Times New Roman" w:cs="Times New Roman"/>
                <w:sz w:val="24"/>
                <w:szCs w:val="24"/>
                <w:lang w:eastAsia="lv-LV"/>
              </w:rPr>
              <w:t>5</w:t>
            </w:r>
            <w:bookmarkStart w:id="1" w:name="_GoBack"/>
            <w:bookmarkEnd w:id="1"/>
            <w:r w:rsidRPr="009F530A">
              <w:rPr>
                <w:rFonts w:ascii="Times New Roman" w:eastAsia="Times New Roman" w:hAnsi="Times New Roman" w:cs="Times New Roman"/>
                <w:sz w:val="24"/>
                <w:szCs w:val="24"/>
                <w:lang w:eastAsia="lv-LV"/>
              </w:rPr>
              <w:t>.punkts</w:t>
            </w:r>
          </w:p>
        </w:tc>
        <w:tc>
          <w:tcPr>
            <w:tcW w:w="1357" w:type="pct"/>
          </w:tcPr>
          <w:p w14:paraId="0FA650F2" w14:textId="40E1353C" w:rsidR="00170328" w:rsidRPr="009F530A" w:rsidRDefault="00170328" w:rsidP="0017032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7A7C09B6" w14:textId="1AC41AD0" w:rsidR="00170328" w:rsidRPr="009F530A" w:rsidRDefault="00170328" w:rsidP="0017032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2A1CE9" w:rsidRPr="009F530A" w14:paraId="71C07607" w14:textId="77777777" w:rsidTr="00FD71FB">
        <w:tc>
          <w:tcPr>
            <w:tcW w:w="893" w:type="pct"/>
            <w:hideMark/>
          </w:tcPr>
          <w:p w14:paraId="4F81DD29"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9F530A">
              <w:rPr>
                <w:rFonts w:ascii="Times New Roman" w:eastAsia="Times New Roman" w:hAnsi="Times New Roman" w:cs="Times New Roman"/>
                <w:sz w:val="24"/>
                <w:szCs w:val="24"/>
                <w:lang w:eastAsia="lv-LV"/>
              </w:rPr>
              <w:br/>
              <w:t>Kādēļ?</w:t>
            </w:r>
          </w:p>
        </w:tc>
        <w:tc>
          <w:tcPr>
            <w:tcW w:w="4107" w:type="pct"/>
            <w:gridSpan w:val="3"/>
            <w:hideMark/>
          </w:tcPr>
          <w:p w14:paraId="440E402A"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šo jomu neskar.</w:t>
            </w:r>
          </w:p>
        </w:tc>
      </w:tr>
      <w:tr w:rsidR="002A1CE9" w:rsidRPr="009F530A" w14:paraId="46E48AFD" w14:textId="77777777" w:rsidTr="00FD71FB">
        <w:tc>
          <w:tcPr>
            <w:tcW w:w="893" w:type="pct"/>
            <w:hideMark/>
          </w:tcPr>
          <w:p w14:paraId="7F7CE486"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Saistības sniegt paziņojumu ES institūcijām un ES dalībvalstīm atbilstoši normatīvajiem aktiem, kas regulē informācijas sniegšanu par tehnisko </w:t>
            </w:r>
            <w:r w:rsidRPr="009F530A">
              <w:rPr>
                <w:rFonts w:ascii="Times New Roman" w:eastAsia="Times New Roman" w:hAnsi="Times New Roman" w:cs="Times New Roman"/>
                <w:sz w:val="24"/>
                <w:szCs w:val="24"/>
                <w:lang w:eastAsia="lv-LV"/>
              </w:rPr>
              <w:lastRenderedPageBreak/>
              <w:t>noteikumu, valsts atbalsta piešķiršanas un finanšu noteikumu (attiecībā uz monetāro politiku) projektiem</w:t>
            </w:r>
          </w:p>
        </w:tc>
        <w:tc>
          <w:tcPr>
            <w:tcW w:w="4107" w:type="pct"/>
            <w:gridSpan w:val="3"/>
            <w:hideMark/>
          </w:tcPr>
          <w:p w14:paraId="7557DDCA"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Projekts šo jomu neskar.</w:t>
            </w:r>
          </w:p>
        </w:tc>
      </w:tr>
      <w:tr w:rsidR="002A1CE9" w:rsidRPr="009F530A" w14:paraId="1C6F1064" w14:textId="77777777" w:rsidTr="00FD71FB">
        <w:tc>
          <w:tcPr>
            <w:tcW w:w="893" w:type="pct"/>
            <w:hideMark/>
          </w:tcPr>
          <w:p w14:paraId="48B4E872"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Cita informācija</w:t>
            </w:r>
          </w:p>
        </w:tc>
        <w:tc>
          <w:tcPr>
            <w:tcW w:w="4107" w:type="pct"/>
            <w:gridSpan w:val="3"/>
            <w:hideMark/>
          </w:tcPr>
          <w:p w14:paraId="4B1269BB" w14:textId="6C7225B5" w:rsidR="00FC0DC5" w:rsidRPr="009F530A" w:rsidRDefault="00EC0D63" w:rsidP="007C1ADA">
            <w:pPr>
              <w:ind w:right="93"/>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Nav.</w:t>
            </w:r>
          </w:p>
        </w:tc>
      </w:tr>
      <w:tr w:rsidR="002A1CE9" w:rsidRPr="009F530A" w14:paraId="51E19763" w14:textId="77777777" w:rsidTr="00A465F4">
        <w:tc>
          <w:tcPr>
            <w:tcW w:w="5000" w:type="pct"/>
            <w:gridSpan w:val="4"/>
            <w:hideMark/>
          </w:tcPr>
          <w:p w14:paraId="6BD47D8E" w14:textId="77777777" w:rsidR="00FC0DC5" w:rsidRPr="009F530A" w:rsidRDefault="00EC0D63" w:rsidP="007C1AD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F530A">
              <w:rPr>
                <w:rFonts w:ascii="Times New Roman" w:eastAsia="Times New Roman" w:hAnsi="Times New Roman" w:cs="Times New Roman"/>
                <w:b/>
                <w:bCs/>
                <w:sz w:val="24"/>
                <w:szCs w:val="24"/>
                <w:lang w:eastAsia="lv-LV"/>
              </w:rPr>
              <w:t>2. tabula</w:t>
            </w:r>
            <w:r w:rsidRPr="009F530A">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9F530A">
              <w:rPr>
                <w:rFonts w:ascii="Times New Roman" w:eastAsia="Times New Roman" w:hAnsi="Times New Roman" w:cs="Times New Roman"/>
                <w:b/>
                <w:bCs/>
                <w:sz w:val="24"/>
                <w:szCs w:val="24"/>
                <w:lang w:eastAsia="lv-LV"/>
              </w:rPr>
              <w:br/>
              <w:t>Pasākumi šo saistību izpildei</w:t>
            </w:r>
          </w:p>
        </w:tc>
      </w:tr>
      <w:tr w:rsidR="002A1CE9" w:rsidRPr="009F530A" w14:paraId="1105448B" w14:textId="77777777" w:rsidTr="00A465F4">
        <w:tc>
          <w:tcPr>
            <w:tcW w:w="5000" w:type="pct"/>
            <w:gridSpan w:val="4"/>
            <w:hideMark/>
          </w:tcPr>
          <w:p w14:paraId="567992E5" w14:textId="77777777" w:rsidR="00FC0DC5" w:rsidRPr="009F530A" w:rsidRDefault="00EC0D63" w:rsidP="00DE34F4">
            <w:pPr>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šo jomu neskar.</w:t>
            </w:r>
          </w:p>
        </w:tc>
      </w:tr>
    </w:tbl>
    <w:p w14:paraId="4DD0610E" w14:textId="77777777" w:rsidR="00B46EE6" w:rsidRPr="00A465F4" w:rsidRDefault="00B46EE6"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W w:w="5000" w:type="pct"/>
        <w:tblLook w:val="04A0" w:firstRow="1" w:lastRow="0" w:firstColumn="1" w:lastColumn="0" w:noHBand="0" w:noVBand="1"/>
      </w:tblPr>
      <w:tblGrid>
        <w:gridCol w:w="543"/>
        <w:gridCol w:w="3081"/>
        <w:gridCol w:w="5437"/>
      </w:tblGrid>
      <w:tr w:rsidR="002A1CE9" w:rsidRPr="009F530A" w14:paraId="355F533E" w14:textId="77777777" w:rsidTr="00A465F4">
        <w:tc>
          <w:tcPr>
            <w:tcW w:w="0" w:type="auto"/>
            <w:gridSpan w:val="3"/>
            <w:hideMark/>
          </w:tcPr>
          <w:p w14:paraId="5D2A2877"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VI. Sabiedrības līdzdalība un komunikācijas aktivitātes</w:t>
            </w:r>
          </w:p>
        </w:tc>
      </w:tr>
      <w:tr w:rsidR="00910CFE" w:rsidRPr="009F530A" w14:paraId="59B4D522" w14:textId="77777777" w:rsidTr="00A465F4">
        <w:tc>
          <w:tcPr>
            <w:tcW w:w="296" w:type="pct"/>
            <w:hideMark/>
          </w:tcPr>
          <w:p w14:paraId="25094E96"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678" w:type="pct"/>
            <w:hideMark/>
          </w:tcPr>
          <w:p w14:paraId="71189AE5"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hideMark/>
          </w:tcPr>
          <w:p w14:paraId="3E17629F" w14:textId="099B6622" w:rsidR="00910CFE" w:rsidRPr="00A465F4" w:rsidRDefault="00910CFE" w:rsidP="00910CFE">
            <w:pPr>
              <w:spacing w:before="60" w:after="60"/>
              <w:ind w:right="140"/>
              <w:jc w:val="both"/>
              <w:rPr>
                <w:rFonts w:ascii="Times New Roman" w:hAnsi="Times New Roman" w:cs="Times New Roman"/>
                <w:sz w:val="24"/>
                <w:szCs w:val="24"/>
              </w:rPr>
            </w:pPr>
            <w:r w:rsidRPr="00A465F4">
              <w:rPr>
                <w:rFonts w:ascii="Times New Roman" w:hAnsi="Times New Roman" w:cs="Times New Roman"/>
                <w:sz w:val="24"/>
                <w:szCs w:val="24"/>
              </w:rPr>
              <w:t>Saskaņā ar MK 2009. gada 25. augusta noteikumu Nr. 970 „Sabiedrības līdzdalības kārtība attīstības plānošanas procesā” 7.4.</w:t>
            </w:r>
            <w:r w:rsidRPr="00A465F4">
              <w:rPr>
                <w:rFonts w:ascii="Times New Roman" w:hAnsi="Times New Roman" w:cs="Times New Roman"/>
                <w:sz w:val="24"/>
                <w:szCs w:val="24"/>
                <w:vertAlign w:val="superscript"/>
              </w:rPr>
              <w:t>1</w:t>
            </w:r>
            <w:r w:rsidRPr="00A465F4">
              <w:rPr>
                <w:rFonts w:ascii="Times New Roman" w:hAnsi="Times New Roman" w:cs="Times New Roman"/>
                <w:sz w:val="24"/>
                <w:szCs w:val="24"/>
              </w:rPr>
              <w:t xml:space="preserve"> apakšpunktu sabiedrības pārstāvji ir aicināti līdzdarboties, rakstiski sniedzot viedokli par </w:t>
            </w:r>
            <w:r w:rsidRPr="009F530A">
              <w:rPr>
                <w:rFonts w:ascii="Times New Roman" w:hAnsi="Times New Roman" w:cs="Times New Roman"/>
                <w:sz w:val="24"/>
                <w:szCs w:val="24"/>
              </w:rPr>
              <w:t xml:space="preserve">Noteikumu </w:t>
            </w:r>
            <w:r w:rsidRPr="00A465F4">
              <w:rPr>
                <w:rFonts w:ascii="Times New Roman" w:hAnsi="Times New Roman" w:cs="Times New Roman"/>
                <w:sz w:val="24"/>
                <w:szCs w:val="24"/>
              </w:rPr>
              <w:t>projektu tā izstrādes stadijā.</w:t>
            </w:r>
          </w:p>
          <w:p w14:paraId="57FB2B31" w14:textId="160054AE" w:rsidR="00910CFE" w:rsidRPr="009F530A" w:rsidRDefault="00910CFE" w:rsidP="00910CFE">
            <w:pPr>
              <w:contextualSpacing/>
              <w:jc w:val="both"/>
              <w:rPr>
                <w:rFonts w:ascii="Times New Roman" w:eastAsia="Times New Roman" w:hAnsi="Times New Roman" w:cs="Times New Roman"/>
                <w:b/>
                <w:iCs/>
                <w:sz w:val="24"/>
                <w:szCs w:val="24"/>
                <w:lang w:eastAsia="lv-LV"/>
              </w:rPr>
            </w:pPr>
            <w:r w:rsidRPr="00A465F4">
              <w:rPr>
                <w:rFonts w:ascii="Times New Roman" w:hAnsi="Times New Roman" w:cs="Times New Roman"/>
                <w:sz w:val="24"/>
                <w:szCs w:val="24"/>
              </w:rPr>
              <w:t>Sabiedrības pārstāvji tiks informēti par iespēju līdzdarboties, publicējot paziņojumu par līdzdalības procesu EM tīmekļvietnē.</w:t>
            </w:r>
          </w:p>
        </w:tc>
      </w:tr>
      <w:tr w:rsidR="00910CFE" w:rsidRPr="009F530A" w14:paraId="71171ABA" w14:textId="77777777" w:rsidTr="00A465F4">
        <w:tc>
          <w:tcPr>
            <w:tcW w:w="296" w:type="pct"/>
            <w:hideMark/>
          </w:tcPr>
          <w:p w14:paraId="09616D7E"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678" w:type="pct"/>
            <w:hideMark/>
          </w:tcPr>
          <w:p w14:paraId="79B24313"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Sabiedrības līdzdalība projekta izstrādē</w:t>
            </w:r>
          </w:p>
        </w:tc>
        <w:tc>
          <w:tcPr>
            <w:tcW w:w="2960" w:type="pct"/>
            <w:hideMark/>
          </w:tcPr>
          <w:p w14:paraId="46C43AF8" w14:textId="22EE85A9" w:rsidR="00910CFE" w:rsidRPr="009F530A" w:rsidRDefault="00910CFE" w:rsidP="00910CFE">
            <w:pPr>
              <w:contextualSpacing/>
              <w:jc w:val="both"/>
              <w:rPr>
                <w:rFonts w:ascii="Times New Roman" w:eastAsia="Times New Roman" w:hAnsi="Times New Roman" w:cs="Times New Roman"/>
                <w:iCs/>
                <w:sz w:val="24"/>
                <w:szCs w:val="24"/>
                <w:lang w:eastAsia="lv-LV"/>
              </w:rPr>
            </w:pPr>
            <w:r w:rsidRPr="00A465F4">
              <w:rPr>
                <w:rFonts w:ascii="Times New Roman" w:hAnsi="Times New Roman" w:cs="Times New Roman"/>
                <w:sz w:val="24"/>
                <w:szCs w:val="24"/>
              </w:rPr>
              <w:t xml:space="preserve">Sabiedrībai būs iespēja iepazīties ar </w:t>
            </w:r>
            <w:r w:rsidRPr="009F530A">
              <w:rPr>
                <w:rFonts w:ascii="Times New Roman" w:hAnsi="Times New Roman" w:cs="Times New Roman"/>
                <w:sz w:val="24"/>
                <w:szCs w:val="24"/>
              </w:rPr>
              <w:t xml:space="preserve">Noteikumu </w:t>
            </w:r>
            <w:r w:rsidRPr="00A465F4">
              <w:rPr>
                <w:rFonts w:ascii="Times New Roman" w:hAnsi="Times New Roman" w:cs="Times New Roman"/>
                <w:sz w:val="24"/>
                <w:szCs w:val="24"/>
              </w:rPr>
              <w:t>projektu EM tīmekļa vietnē un izteikt par to viedokli.</w:t>
            </w:r>
          </w:p>
        </w:tc>
      </w:tr>
      <w:tr w:rsidR="00910CFE" w:rsidRPr="009F530A" w14:paraId="60230B37" w14:textId="77777777" w:rsidTr="00A465F4">
        <w:tc>
          <w:tcPr>
            <w:tcW w:w="296" w:type="pct"/>
            <w:hideMark/>
          </w:tcPr>
          <w:p w14:paraId="1E693B39"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3.</w:t>
            </w:r>
          </w:p>
        </w:tc>
        <w:tc>
          <w:tcPr>
            <w:tcW w:w="1678" w:type="pct"/>
            <w:hideMark/>
          </w:tcPr>
          <w:p w14:paraId="4611B1AE"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Sabiedrības līdzdalības rezultāti</w:t>
            </w:r>
          </w:p>
        </w:tc>
        <w:tc>
          <w:tcPr>
            <w:tcW w:w="2960" w:type="pct"/>
            <w:hideMark/>
          </w:tcPr>
          <w:p w14:paraId="2FDA2DFD" w14:textId="338A5BB1" w:rsidR="00910CFE" w:rsidRPr="009F530A" w:rsidRDefault="00910CFE" w:rsidP="00910CFE">
            <w:pPr>
              <w:contextualSpacing/>
              <w:jc w:val="both"/>
              <w:rPr>
                <w:rFonts w:ascii="Times New Roman" w:hAnsi="Times New Roman" w:cs="Times New Roman"/>
                <w:sz w:val="24"/>
                <w:szCs w:val="24"/>
              </w:rPr>
            </w:pPr>
            <w:r w:rsidRPr="00A465F4">
              <w:rPr>
                <w:rFonts w:ascii="Times New Roman" w:hAnsi="Times New Roman" w:cs="Times New Roman"/>
                <w:sz w:val="24"/>
                <w:szCs w:val="24"/>
              </w:rPr>
              <w:t>Tiks apkopoti pēc saņemto viedokļu apkopošanas.</w:t>
            </w:r>
          </w:p>
        </w:tc>
      </w:tr>
      <w:tr w:rsidR="00910CFE" w:rsidRPr="009F530A" w14:paraId="268B2B1B" w14:textId="77777777" w:rsidTr="00A465F4">
        <w:tc>
          <w:tcPr>
            <w:tcW w:w="296" w:type="pct"/>
            <w:hideMark/>
          </w:tcPr>
          <w:p w14:paraId="3B7221AF"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4.</w:t>
            </w:r>
          </w:p>
        </w:tc>
        <w:tc>
          <w:tcPr>
            <w:tcW w:w="1678" w:type="pct"/>
            <w:hideMark/>
          </w:tcPr>
          <w:p w14:paraId="24831536"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53D17BE7" w14:textId="5DEC7116" w:rsidR="00910CFE" w:rsidRPr="009F530A" w:rsidRDefault="00910CFE" w:rsidP="00910CFE">
            <w:pPr>
              <w:contextualSpacing/>
              <w:rPr>
                <w:rFonts w:ascii="Times New Roman" w:eastAsia="Times New Roman" w:hAnsi="Times New Roman" w:cs="Times New Roman"/>
                <w:iCs/>
                <w:sz w:val="24"/>
                <w:szCs w:val="24"/>
                <w:lang w:eastAsia="lv-LV"/>
              </w:rPr>
            </w:pPr>
            <w:r w:rsidRPr="00A465F4">
              <w:rPr>
                <w:rFonts w:ascii="Times New Roman" w:hAnsi="Times New Roman" w:cs="Times New Roman"/>
                <w:sz w:val="24"/>
                <w:szCs w:val="24"/>
              </w:rPr>
              <w:t>Nav.</w:t>
            </w:r>
          </w:p>
        </w:tc>
      </w:tr>
    </w:tbl>
    <w:p w14:paraId="44016AA6" w14:textId="77777777" w:rsidR="00E5323B" w:rsidRPr="00A465F4" w:rsidRDefault="00EC0D63"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A1CE9" w:rsidRPr="009F530A" w14:paraId="165CB927" w14:textId="77777777" w:rsidTr="00A465F4">
        <w:tc>
          <w:tcPr>
            <w:tcW w:w="0" w:type="auto"/>
            <w:gridSpan w:val="3"/>
            <w:hideMark/>
          </w:tcPr>
          <w:p w14:paraId="056532DB"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910CFE" w:rsidRPr="009F530A" w14:paraId="68DD66DC" w14:textId="77777777" w:rsidTr="00A465F4">
        <w:tc>
          <w:tcPr>
            <w:tcW w:w="296" w:type="pct"/>
            <w:hideMark/>
          </w:tcPr>
          <w:p w14:paraId="7E37CC7B"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678" w:type="pct"/>
            <w:hideMark/>
          </w:tcPr>
          <w:p w14:paraId="3DAC772E"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Projekta izpildē iesaistītās institūcijas</w:t>
            </w:r>
          </w:p>
        </w:tc>
        <w:tc>
          <w:tcPr>
            <w:tcW w:w="2960" w:type="pct"/>
            <w:hideMark/>
          </w:tcPr>
          <w:p w14:paraId="1C64FA27" w14:textId="030BAC94" w:rsidR="00910CFE" w:rsidRPr="009F530A" w:rsidRDefault="0065014B" w:rsidP="00910CFE">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BVKB, Valsts ieņēmumu dienests</w:t>
            </w:r>
          </w:p>
        </w:tc>
      </w:tr>
      <w:tr w:rsidR="00910CFE" w:rsidRPr="009F530A" w14:paraId="7C229FCA" w14:textId="77777777" w:rsidTr="00A465F4">
        <w:tc>
          <w:tcPr>
            <w:tcW w:w="296" w:type="pct"/>
            <w:hideMark/>
          </w:tcPr>
          <w:p w14:paraId="10BFE4B6"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678" w:type="pct"/>
            <w:hideMark/>
          </w:tcPr>
          <w:p w14:paraId="2CB5C4FA"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Projekta izpildes ietekme uz pārvaldes funkcijām un institucionālo struktūru.</w:t>
            </w:r>
            <w:r w:rsidRPr="009F530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hideMark/>
          </w:tcPr>
          <w:p w14:paraId="6C57C9DD" w14:textId="77777777" w:rsidR="0065014B" w:rsidRDefault="0065014B" w:rsidP="00910CFE">
            <w:pPr>
              <w:contextualSpacing/>
              <w:jc w:val="both"/>
              <w:rPr>
                <w:rFonts w:ascii="Times New Roman" w:hAnsi="Times New Roman" w:cs="Times New Roman"/>
                <w:sz w:val="24"/>
                <w:szCs w:val="24"/>
              </w:rPr>
            </w:pPr>
            <w:r>
              <w:rPr>
                <w:rFonts w:ascii="Times New Roman" w:hAnsi="Times New Roman" w:cs="Times New Roman"/>
                <w:sz w:val="24"/>
                <w:szCs w:val="24"/>
              </w:rPr>
              <w:t>Noteikumu p</w:t>
            </w:r>
            <w:r w:rsidRPr="00754A0D">
              <w:rPr>
                <w:rFonts w:ascii="Times New Roman" w:hAnsi="Times New Roman" w:cs="Times New Roman"/>
                <w:sz w:val="24"/>
                <w:szCs w:val="24"/>
              </w:rPr>
              <w:t>rojektā iekļautie nosacījumi var radīt ietekmi uz pārvaldes funkcijām, tomēr tas neietekmēs institucionālo sistēmu</w:t>
            </w:r>
            <w:r>
              <w:rPr>
                <w:rFonts w:ascii="Times New Roman" w:hAnsi="Times New Roman" w:cs="Times New Roman"/>
                <w:sz w:val="24"/>
                <w:szCs w:val="24"/>
              </w:rPr>
              <w:t xml:space="preserve"> </w:t>
            </w:r>
          </w:p>
          <w:p w14:paraId="3CB792EF" w14:textId="71E866D4" w:rsidR="0065014B" w:rsidRDefault="0065014B" w:rsidP="00910CFE">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w:t>
            </w:r>
            <w:r w:rsidR="00910CFE" w:rsidRPr="00A465F4">
              <w:rPr>
                <w:rFonts w:ascii="Times New Roman" w:hAnsi="Times New Roman" w:cs="Times New Roman"/>
                <w:sz w:val="24"/>
                <w:szCs w:val="24"/>
              </w:rPr>
              <w:t>projektā iekļauto nosacījumu izpildei nav nepieciešams veidot jaunas institūcijas, likvidēt vai reorganizēt esošās institūcijas.</w:t>
            </w:r>
          </w:p>
          <w:p w14:paraId="545280C3" w14:textId="3C9391A3" w:rsidR="00910CFE" w:rsidRPr="009F530A" w:rsidRDefault="0065014B" w:rsidP="00910CFE">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w:t>
            </w:r>
            <w:r w:rsidRPr="00754A0D">
              <w:rPr>
                <w:rFonts w:ascii="Times New Roman" w:hAnsi="Times New Roman" w:cs="Times New Roman"/>
                <w:sz w:val="24"/>
                <w:szCs w:val="24"/>
              </w:rPr>
              <w:t xml:space="preserve">jekta izpildē iesaistītās institūcijas </w:t>
            </w: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iekļautos pasākumu nodrošinās piešķirto valsts budžeta līdzekļu ietvaros</w:t>
            </w:r>
            <w:r w:rsidRPr="009F530A" w:rsidDel="00102F6C">
              <w:rPr>
                <w:rFonts w:ascii="Times New Roman" w:hAnsi="Times New Roman" w:cs="Times New Roman"/>
                <w:sz w:val="24"/>
                <w:szCs w:val="24"/>
              </w:rPr>
              <w:t xml:space="preserve"> </w:t>
            </w:r>
          </w:p>
        </w:tc>
      </w:tr>
      <w:tr w:rsidR="00910CFE" w:rsidRPr="009F530A" w14:paraId="548BB437" w14:textId="77777777" w:rsidTr="00A465F4">
        <w:tc>
          <w:tcPr>
            <w:tcW w:w="296" w:type="pct"/>
            <w:hideMark/>
          </w:tcPr>
          <w:p w14:paraId="5758F840"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3.</w:t>
            </w:r>
          </w:p>
        </w:tc>
        <w:tc>
          <w:tcPr>
            <w:tcW w:w="1678" w:type="pct"/>
            <w:hideMark/>
          </w:tcPr>
          <w:p w14:paraId="0B38906F"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1409BC5B" w14:textId="0446F003" w:rsidR="00910CFE" w:rsidRPr="009F530A" w:rsidRDefault="0065014B" w:rsidP="00910CFE">
            <w:pPr>
              <w:contextualSpacing/>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20396B8" w14:textId="77777777" w:rsidR="00180B04" w:rsidRPr="00A465F4" w:rsidRDefault="00180B04" w:rsidP="007C1ADA">
      <w:pPr>
        <w:spacing w:after="0" w:line="240" w:lineRule="auto"/>
        <w:contextualSpacing/>
        <w:rPr>
          <w:rFonts w:ascii="Times New Roman" w:hAnsi="Times New Roman" w:cs="Times New Roman"/>
          <w:sz w:val="24"/>
          <w:szCs w:val="24"/>
        </w:rPr>
      </w:pPr>
    </w:p>
    <w:p w14:paraId="3F507733" w14:textId="77777777" w:rsidR="00910CFE" w:rsidRPr="00A465F4" w:rsidRDefault="00910CFE" w:rsidP="00910CFE">
      <w:pPr>
        <w:spacing w:before="120" w:after="120"/>
        <w:rPr>
          <w:rFonts w:ascii="Times New Roman" w:hAnsi="Times New Roman" w:cs="Times New Roman"/>
          <w:sz w:val="24"/>
          <w:szCs w:val="24"/>
        </w:rPr>
      </w:pPr>
      <w:bookmarkStart w:id="2" w:name="_Hlk67581077"/>
      <w:r w:rsidRPr="00A465F4">
        <w:rPr>
          <w:rFonts w:ascii="Times New Roman" w:hAnsi="Times New Roman" w:cs="Times New Roman"/>
          <w:sz w:val="24"/>
          <w:szCs w:val="24"/>
        </w:rPr>
        <w:t>Ekonomikas ministrs</w:t>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t>J.Vitenbergs</w:t>
      </w:r>
    </w:p>
    <w:p w14:paraId="0CF9B972" w14:textId="77777777" w:rsidR="00910CFE" w:rsidRPr="00A465F4" w:rsidRDefault="00910CFE" w:rsidP="00910CFE">
      <w:pPr>
        <w:spacing w:before="120" w:after="120"/>
        <w:jc w:val="right"/>
        <w:rPr>
          <w:rFonts w:ascii="Times New Roman" w:eastAsia="Calibri" w:hAnsi="Times New Roman" w:cs="Times New Roman"/>
          <w:sz w:val="24"/>
          <w:szCs w:val="24"/>
        </w:rPr>
      </w:pPr>
    </w:p>
    <w:p w14:paraId="7529E791" w14:textId="465495BC" w:rsidR="00910CFE" w:rsidRPr="00A465F4" w:rsidRDefault="00910CFE" w:rsidP="00910CFE">
      <w:pPr>
        <w:tabs>
          <w:tab w:val="left" w:pos="7513"/>
        </w:tabs>
        <w:rPr>
          <w:rFonts w:ascii="Times New Roman" w:hAnsi="Times New Roman" w:cs="Times New Roman"/>
          <w:sz w:val="24"/>
          <w:szCs w:val="24"/>
        </w:rPr>
      </w:pPr>
      <w:r w:rsidRPr="00A465F4">
        <w:rPr>
          <w:rFonts w:ascii="Times New Roman" w:hAnsi="Times New Roman" w:cs="Times New Roman"/>
          <w:sz w:val="24"/>
          <w:szCs w:val="24"/>
        </w:rPr>
        <w:lastRenderedPageBreak/>
        <w:t>Vīza: Valsts sekretārs</w:t>
      </w:r>
      <w:r w:rsidRPr="00A465F4">
        <w:rPr>
          <w:rFonts w:ascii="Times New Roman" w:hAnsi="Times New Roman" w:cs="Times New Roman"/>
          <w:sz w:val="24"/>
          <w:szCs w:val="24"/>
        </w:rPr>
        <w:tab/>
        <w:t>E.Valantis</w:t>
      </w:r>
      <w:r w:rsidRPr="00A465F4">
        <w:rPr>
          <w:rFonts w:ascii="Times New Roman" w:hAnsi="Times New Roman" w:cs="Times New Roman"/>
          <w:sz w:val="24"/>
          <w:szCs w:val="24"/>
        </w:rPr>
        <w:tab/>
        <w:t xml:space="preserve"> </w:t>
      </w:r>
    </w:p>
    <w:bookmarkEnd w:id="2"/>
    <w:p w14:paraId="75D3678A" w14:textId="793D4F3C" w:rsidR="00894C55" w:rsidRPr="00A465F4" w:rsidRDefault="00894C55" w:rsidP="007C1ADA">
      <w:pPr>
        <w:spacing w:after="0" w:line="240" w:lineRule="auto"/>
        <w:contextualSpacing/>
        <w:rPr>
          <w:rFonts w:ascii="Times New Roman" w:hAnsi="Times New Roman" w:cs="Times New Roman"/>
          <w:sz w:val="24"/>
          <w:szCs w:val="24"/>
        </w:rPr>
      </w:pPr>
    </w:p>
    <w:p w14:paraId="4015A995" w14:textId="19AD9C99" w:rsidR="00E91BC6" w:rsidRPr="00A465F4" w:rsidRDefault="00E91BC6" w:rsidP="007C1ADA">
      <w:pPr>
        <w:spacing w:after="0" w:line="240" w:lineRule="auto"/>
        <w:contextualSpacing/>
        <w:rPr>
          <w:rFonts w:ascii="Times New Roman" w:hAnsi="Times New Roman" w:cs="Times New Roman"/>
          <w:sz w:val="24"/>
          <w:szCs w:val="24"/>
        </w:rPr>
      </w:pPr>
    </w:p>
    <w:p w14:paraId="458F58FA" w14:textId="24CB2AAC" w:rsidR="00E46178" w:rsidRPr="0042629F" w:rsidRDefault="0042629F" w:rsidP="007C1ADA">
      <w:pPr>
        <w:spacing w:after="0" w:line="240" w:lineRule="auto"/>
        <w:contextualSpacing/>
        <w:rPr>
          <w:rFonts w:ascii="Times New Roman" w:hAnsi="Times New Roman" w:cs="Times New Roman"/>
          <w:sz w:val="20"/>
          <w:szCs w:val="20"/>
        </w:rPr>
      </w:pPr>
      <w:bookmarkStart w:id="3" w:name="_Hlk71384489"/>
      <w:r w:rsidRPr="0042629F">
        <w:rPr>
          <w:rFonts w:ascii="Times New Roman" w:hAnsi="Times New Roman" w:cs="Times New Roman"/>
          <w:sz w:val="20"/>
          <w:szCs w:val="20"/>
        </w:rPr>
        <w:t>H.Rimša, 67013244</w:t>
      </w:r>
    </w:p>
    <w:p w14:paraId="2130CC85" w14:textId="5FF60ED6" w:rsidR="0042629F" w:rsidRPr="0042629F" w:rsidRDefault="00B11655" w:rsidP="007C1ADA">
      <w:pPr>
        <w:spacing w:after="0" w:line="240" w:lineRule="auto"/>
        <w:contextualSpacing/>
        <w:rPr>
          <w:rFonts w:ascii="Times New Roman" w:hAnsi="Times New Roman" w:cs="Times New Roman"/>
          <w:sz w:val="20"/>
          <w:szCs w:val="20"/>
        </w:rPr>
      </w:pPr>
      <w:hyperlink r:id="rId19" w:history="1">
        <w:r w:rsidR="0042629F" w:rsidRPr="0042629F">
          <w:rPr>
            <w:rStyle w:val="Hyperlink"/>
            <w:rFonts w:ascii="Times New Roman" w:hAnsi="Times New Roman" w:cs="Times New Roman"/>
            <w:sz w:val="20"/>
            <w:szCs w:val="20"/>
          </w:rPr>
          <w:t>Helena.Rimsa@em.gov.lv</w:t>
        </w:r>
      </w:hyperlink>
      <w:r w:rsidR="0042629F" w:rsidRPr="0042629F">
        <w:rPr>
          <w:rFonts w:ascii="Times New Roman" w:hAnsi="Times New Roman" w:cs="Times New Roman"/>
          <w:sz w:val="20"/>
          <w:szCs w:val="20"/>
        </w:rPr>
        <w:t xml:space="preserve"> </w:t>
      </w:r>
    </w:p>
    <w:bookmarkEnd w:id="3"/>
    <w:p w14:paraId="6BE14D2F" w14:textId="6662EFFB" w:rsidR="00E46178" w:rsidRPr="00A465F4" w:rsidRDefault="00E46178" w:rsidP="007C1ADA">
      <w:pPr>
        <w:spacing w:after="0" w:line="240" w:lineRule="auto"/>
        <w:contextualSpacing/>
        <w:rPr>
          <w:rFonts w:ascii="Times New Roman" w:hAnsi="Times New Roman" w:cs="Times New Roman"/>
          <w:sz w:val="24"/>
          <w:szCs w:val="24"/>
        </w:rPr>
      </w:pPr>
    </w:p>
    <w:p w14:paraId="7C9D68E4" w14:textId="77777777" w:rsidR="00E46178" w:rsidRPr="00A465F4" w:rsidRDefault="00E46178" w:rsidP="007C1ADA">
      <w:pPr>
        <w:spacing w:after="0" w:line="240" w:lineRule="auto"/>
        <w:contextualSpacing/>
        <w:rPr>
          <w:rFonts w:ascii="Times New Roman" w:hAnsi="Times New Roman" w:cs="Times New Roman"/>
          <w:sz w:val="24"/>
          <w:szCs w:val="24"/>
        </w:rPr>
      </w:pPr>
    </w:p>
    <w:p w14:paraId="46C7E1FF" w14:textId="77777777" w:rsidR="00E91BC6" w:rsidRPr="00A465F4" w:rsidRDefault="00E91BC6" w:rsidP="007C1ADA">
      <w:pPr>
        <w:spacing w:after="0" w:line="240" w:lineRule="auto"/>
        <w:contextualSpacing/>
        <w:rPr>
          <w:rFonts w:ascii="Times New Roman" w:hAnsi="Times New Roman" w:cs="Times New Roman"/>
          <w:sz w:val="24"/>
          <w:szCs w:val="24"/>
        </w:rPr>
      </w:pPr>
    </w:p>
    <w:p w14:paraId="565293B7" w14:textId="77777777" w:rsidR="004E6966" w:rsidRPr="00A465F4" w:rsidRDefault="004E6966" w:rsidP="007C1ADA">
      <w:pPr>
        <w:spacing w:after="0" w:line="240" w:lineRule="auto"/>
        <w:contextualSpacing/>
        <w:rPr>
          <w:rFonts w:ascii="Times New Roman" w:hAnsi="Times New Roman" w:cs="Times New Roman"/>
          <w:sz w:val="24"/>
          <w:szCs w:val="24"/>
        </w:rPr>
      </w:pPr>
    </w:p>
    <w:p w14:paraId="3C243275" w14:textId="21FA239D" w:rsidR="00BE03BD" w:rsidRPr="00A465F4" w:rsidRDefault="00BE03BD" w:rsidP="007C1ADA">
      <w:pPr>
        <w:tabs>
          <w:tab w:val="left" w:pos="6237"/>
        </w:tabs>
        <w:spacing w:after="0" w:line="240" w:lineRule="auto"/>
        <w:contextualSpacing/>
        <w:rPr>
          <w:rFonts w:ascii="Times New Roman" w:hAnsi="Times New Roman" w:cs="Times New Roman"/>
          <w:sz w:val="24"/>
          <w:szCs w:val="24"/>
        </w:rPr>
      </w:pPr>
    </w:p>
    <w:sectPr w:rsidR="00BE03BD" w:rsidRPr="00A465F4" w:rsidSect="00D21022">
      <w:headerReference w:type="default" r:id="rId20"/>
      <w:pgSz w:w="11906" w:h="16838"/>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D5409" w14:textId="77777777" w:rsidR="00B11655" w:rsidRDefault="00B11655">
      <w:pPr>
        <w:spacing w:after="0" w:line="240" w:lineRule="auto"/>
      </w:pPr>
      <w:r>
        <w:separator/>
      </w:r>
    </w:p>
  </w:endnote>
  <w:endnote w:type="continuationSeparator" w:id="0">
    <w:p w14:paraId="7BF6EC91" w14:textId="77777777" w:rsidR="00B11655" w:rsidRDefault="00B1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A2F0" w14:textId="77777777" w:rsidR="00B11655" w:rsidRDefault="00B11655" w:rsidP="00894C55">
      <w:pPr>
        <w:spacing w:after="0" w:line="240" w:lineRule="auto"/>
      </w:pPr>
      <w:r>
        <w:separator/>
      </w:r>
    </w:p>
  </w:footnote>
  <w:footnote w:type="continuationSeparator" w:id="0">
    <w:p w14:paraId="71459885" w14:textId="77777777" w:rsidR="00B11655" w:rsidRDefault="00B11655" w:rsidP="00894C55">
      <w:pPr>
        <w:spacing w:after="0" w:line="240" w:lineRule="auto"/>
      </w:pPr>
      <w:r>
        <w:continuationSeparator/>
      </w:r>
    </w:p>
  </w:footnote>
  <w:footnote w:id="1">
    <w:p w14:paraId="1D6D83C4" w14:textId="3742D8EA" w:rsidR="00FA574F" w:rsidRPr="00F02403" w:rsidRDefault="00FA574F" w:rsidP="0011521D">
      <w:pPr>
        <w:pStyle w:val="FootnoteText"/>
        <w:jc w:val="both"/>
        <w:rPr>
          <w:rFonts w:ascii="Times New Roman" w:hAnsi="Times New Roman" w:cs="Times New Roman"/>
          <w:i/>
        </w:rPr>
      </w:pPr>
      <w:r w:rsidRPr="00F02403">
        <w:rPr>
          <w:rStyle w:val="FootnoteReference"/>
          <w:rFonts w:ascii="Times New Roman" w:hAnsi="Times New Roman" w:cs="Times New Roman"/>
          <w:i/>
        </w:rPr>
        <w:footnoteRef/>
      </w:r>
      <w:r w:rsidRPr="00F02403">
        <w:rPr>
          <w:rFonts w:ascii="Times New Roman" w:hAnsi="Times New Roman" w:cs="Times New Roman"/>
          <w:i/>
        </w:rPr>
        <w:t xml:space="preserve"> Šobrīd spēkā esošo regulējumu par transporta enerģijas kvalitātes prasībām, atbilstības novērtēšanu, tirgus uzraudzību, patērētājiem sniedzamo informāciju veido Ministru kabineta 2000.gada 26.septembra noteikumi Nr.332 “Noteikumi par benzīna un dīzeļdegvielas atbilstības novērtēšanu” un Ministru kabineta 2005.gada 18.oktobra Nr.772 “Noteikumi par biodegvielas kvalitātes prasībām, atbilstības novērtēšanu, tirgus uzraudzību un patērētāju informēšanas kārtību” </w:t>
      </w:r>
    </w:p>
  </w:footnote>
  <w:footnote w:id="2">
    <w:p w14:paraId="531C9449" w14:textId="50BFC944" w:rsidR="002C0442" w:rsidRPr="00F02403" w:rsidRDefault="002C0442">
      <w:pPr>
        <w:pStyle w:val="FootnoteText"/>
        <w:rPr>
          <w:rFonts w:ascii="Times New Roman" w:hAnsi="Times New Roman" w:cs="Times New Roman"/>
        </w:rPr>
      </w:pPr>
      <w:r w:rsidRPr="00F02403">
        <w:rPr>
          <w:rStyle w:val="FootnoteReference"/>
          <w:rFonts w:ascii="Times New Roman" w:hAnsi="Times New Roman" w:cs="Times New Roman"/>
        </w:rPr>
        <w:footnoteRef/>
      </w:r>
      <w:r w:rsidRPr="00F02403">
        <w:rPr>
          <w:rFonts w:ascii="Times New Roman" w:hAnsi="Times New Roman" w:cs="Times New Roman"/>
        </w:rPr>
        <w:t xml:space="preserve"> šobrīd starpministriju saskaņošanas procesā</w:t>
      </w:r>
    </w:p>
  </w:footnote>
  <w:footnote w:id="3">
    <w:p w14:paraId="4308059F" w14:textId="00083BD7" w:rsidR="00F02403" w:rsidRPr="00D21022" w:rsidRDefault="00F02403">
      <w:pPr>
        <w:pStyle w:val="FootnoteText"/>
        <w:rPr>
          <w:rFonts w:ascii="Times New Roman" w:hAnsi="Times New Roman" w:cs="Times New Roman"/>
        </w:rPr>
      </w:pPr>
      <w:r w:rsidRPr="00D21022">
        <w:rPr>
          <w:rStyle w:val="FootnoteReference"/>
          <w:rFonts w:ascii="Times New Roman" w:hAnsi="Times New Roman" w:cs="Times New Roman"/>
        </w:rPr>
        <w:footnoteRef/>
      </w:r>
      <w:r w:rsidRPr="00D21022">
        <w:rPr>
          <w:rFonts w:ascii="Times New Roman" w:hAnsi="Times New Roman" w:cs="Times New Roman"/>
        </w:rPr>
        <w:t xml:space="preserve"> </w:t>
      </w:r>
      <w:hyperlink r:id="rId1" w:history="1">
        <w:r w:rsidRPr="00D21022">
          <w:rPr>
            <w:rStyle w:val="Hyperlink"/>
            <w:rFonts w:ascii="Times New Roman" w:hAnsi="Times New Roman" w:cs="Times New Roman"/>
          </w:rPr>
          <w:t>https://www.riigiteataja.ee/akt/115062021010</w:t>
        </w:r>
      </w:hyperlink>
      <w:r w:rsidRPr="00D2102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771761746"/>
      <w:docPartObj>
        <w:docPartGallery w:val="Page Numbers (Top of Page)"/>
        <w:docPartUnique/>
      </w:docPartObj>
    </w:sdtPr>
    <w:sdtEndPr>
      <w:rPr>
        <w:noProof/>
      </w:rPr>
    </w:sdtEndPr>
    <w:sdtContent>
      <w:p w14:paraId="497C4C90" w14:textId="4059AC49" w:rsidR="00FD71FB" w:rsidRPr="00FD71FB" w:rsidRDefault="00FD71FB">
        <w:pPr>
          <w:pStyle w:val="Header"/>
          <w:jc w:val="center"/>
          <w:rPr>
            <w:rFonts w:ascii="Times New Roman" w:hAnsi="Times New Roman"/>
            <w:sz w:val="24"/>
          </w:rPr>
        </w:pPr>
        <w:r w:rsidRPr="00FD71FB">
          <w:rPr>
            <w:rFonts w:ascii="Times New Roman" w:hAnsi="Times New Roman"/>
            <w:sz w:val="24"/>
          </w:rPr>
          <w:fldChar w:fldCharType="begin"/>
        </w:r>
        <w:r w:rsidRPr="00FD71FB">
          <w:rPr>
            <w:rFonts w:ascii="Times New Roman" w:hAnsi="Times New Roman"/>
            <w:sz w:val="24"/>
          </w:rPr>
          <w:instrText xml:space="preserve"> PAGE   \* MERGEFORMAT </w:instrText>
        </w:r>
        <w:r w:rsidRPr="00FD71FB">
          <w:rPr>
            <w:rFonts w:ascii="Times New Roman" w:hAnsi="Times New Roman"/>
            <w:sz w:val="24"/>
          </w:rPr>
          <w:fldChar w:fldCharType="separate"/>
        </w:r>
        <w:r w:rsidRPr="00FD71FB">
          <w:rPr>
            <w:rFonts w:ascii="Times New Roman" w:hAnsi="Times New Roman"/>
            <w:noProof/>
            <w:sz w:val="24"/>
          </w:rPr>
          <w:t>2</w:t>
        </w:r>
        <w:r w:rsidRPr="00FD71FB">
          <w:rPr>
            <w:rFonts w:ascii="Times New Roman" w:hAnsi="Times New Roman"/>
            <w:noProof/>
            <w:sz w:val="24"/>
          </w:rPr>
          <w:fldChar w:fldCharType="end"/>
        </w:r>
      </w:p>
    </w:sdtContent>
  </w:sdt>
  <w:p w14:paraId="532D6AE1" w14:textId="18E64748" w:rsidR="00FA574F" w:rsidRPr="00C25B49" w:rsidRDefault="00FA574F">
    <w:pPr>
      <w:pStyle w:val="Header"/>
      <w:jc w:val="center"/>
      <w:rPr>
        <w:rFonts w:ascii="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37A339A7"/>
    <w:multiLevelType w:val="hybridMultilevel"/>
    <w:tmpl w:val="6B841032"/>
    <w:lvl w:ilvl="0" w:tplc="3934F314">
      <w:start w:val="1"/>
      <w:numFmt w:val="decimal"/>
      <w:lvlText w:val="%1)"/>
      <w:lvlJc w:val="left"/>
      <w:pPr>
        <w:ind w:left="720" w:hanging="360"/>
      </w:pPr>
      <w:rPr>
        <w:rFonts w:hint="default"/>
      </w:rPr>
    </w:lvl>
    <w:lvl w:ilvl="1" w:tplc="C658AB9E" w:tentative="1">
      <w:start w:val="1"/>
      <w:numFmt w:val="lowerLetter"/>
      <w:lvlText w:val="%2."/>
      <w:lvlJc w:val="left"/>
      <w:pPr>
        <w:ind w:left="1440" w:hanging="360"/>
      </w:pPr>
    </w:lvl>
    <w:lvl w:ilvl="2" w:tplc="7AD82BC6" w:tentative="1">
      <w:start w:val="1"/>
      <w:numFmt w:val="lowerRoman"/>
      <w:lvlText w:val="%3."/>
      <w:lvlJc w:val="right"/>
      <w:pPr>
        <w:ind w:left="2160" w:hanging="180"/>
      </w:pPr>
    </w:lvl>
    <w:lvl w:ilvl="3" w:tplc="C9D801C6" w:tentative="1">
      <w:start w:val="1"/>
      <w:numFmt w:val="decimal"/>
      <w:lvlText w:val="%4."/>
      <w:lvlJc w:val="left"/>
      <w:pPr>
        <w:ind w:left="2880" w:hanging="360"/>
      </w:pPr>
    </w:lvl>
    <w:lvl w:ilvl="4" w:tplc="819230C8" w:tentative="1">
      <w:start w:val="1"/>
      <w:numFmt w:val="lowerLetter"/>
      <w:lvlText w:val="%5."/>
      <w:lvlJc w:val="left"/>
      <w:pPr>
        <w:ind w:left="3600" w:hanging="360"/>
      </w:pPr>
    </w:lvl>
    <w:lvl w:ilvl="5" w:tplc="CA9A0B9C" w:tentative="1">
      <w:start w:val="1"/>
      <w:numFmt w:val="lowerRoman"/>
      <w:lvlText w:val="%6."/>
      <w:lvlJc w:val="right"/>
      <w:pPr>
        <w:ind w:left="4320" w:hanging="180"/>
      </w:pPr>
    </w:lvl>
    <w:lvl w:ilvl="6" w:tplc="B68E0538" w:tentative="1">
      <w:start w:val="1"/>
      <w:numFmt w:val="decimal"/>
      <w:lvlText w:val="%7."/>
      <w:lvlJc w:val="left"/>
      <w:pPr>
        <w:ind w:left="5040" w:hanging="360"/>
      </w:pPr>
    </w:lvl>
    <w:lvl w:ilvl="7" w:tplc="B5480118" w:tentative="1">
      <w:start w:val="1"/>
      <w:numFmt w:val="lowerLetter"/>
      <w:lvlText w:val="%8."/>
      <w:lvlJc w:val="left"/>
      <w:pPr>
        <w:ind w:left="5760" w:hanging="360"/>
      </w:pPr>
    </w:lvl>
    <w:lvl w:ilvl="8" w:tplc="55A2ACEA" w:tentative="1">
      <w:start w:val="1"/>
      <w:numFmt w:val="lowerRoman"/>
      <w:lvlText w:val="%9."/>
      <w:lvlJc w:val="right"/>
      <w:pPr>
        <w:ind w:left="6480" w:hanging="180"/>
      </w:pPr>
    </w:lvl>
  </w:abstractNum>
  <w:abstractNum w:abstractNumId="2" w15:restartNumberingAfterBreak="1">
    <w:nsid w:val="51B014EE"/>
    <w:multiLevelType w:val="hybridMultilevel"/>
    <w:tmpl w:val="49C09F50"/>
    <w:lvl w:ilvl="0" w:tplc="2FAC6626">
      <w:start w:val="1"/>
      <w:numFmt w:val="decimal"/>
      <w:lvlText w:val="%1."/>
      <w:lvlJc w:val="left"/>
      <w:pPr>
        <w:ind w:left="720" w:hanging="360"/>
      </w:pPr>
      <w:rPr>
        <w:rFonts w:hint="default"/>
      </w:rPr>
    </w:lvl>
    <w:lvl w:ilvl="1" w:tplc="4172FC7E" w:tentative="1">
      <w:start w:val="1"/>
      <w:numFmt w:val="lowerLetter"/>
      <w:lvlText w:val="%2."/>
      <w:lvlJc w:val="left"/>
      <w:pPr>
        <w:ind w:left="1440" w:hanging="360"/>
      </w:pPr>
    </w:lvl>
    <w:lvl w:ilvl="2" w:tplc="F1B68540" w:tentative="1">
      <w:start w:val="1"/>
      <w:numFmt w:val="lowerRoman"/>
      <w:lvlText w:val="%3."/>
      <w:lvlJc w:val="right"/>
      <w:pPr>
        <w:ind w:left="2160" w:hanging="180"/>
      </w:pPr>
    </w:lvl>
    <w:lvl w:ilvl="3" w:tplc="69A8C300" w:tentative="1">
      <w:start w:val="1"/>
      <w:numFmt w:val="decimal"/>
      <w:lvlText w:val="%4."/>
      <w:lvlJc w:val="left"/>
      <w:pPr>
        <w:ind w:left="2880" w:hanging="360"/>
      </w:pPr>
    </w:lvl>
    <w:lvl w:ilvl="4" w:tplc="8D30FF06" w:tentative="1">
      <w:start w:val="1"/>
      <w:numFmt w:val="lowerLetter"/>
      <w:lvlText w:val="%5."/>
      <w:lvlJc w:val="left"/>
      <w:pPr>
        <w:ind w:left="3600" w:hanging="360"/>
      </w:pPr>
    </w:lvl>
    <w:lvl w:ilvl="5" w:tplc="48EAB852" w:tentative="1">
      <w:start w:val="1"/>
      <w:numFmt w:val="lowerRoman"/>
      <w:lvlText w:val="%6."/>
      <w:lvlJc w:val="right"/>
      <w:pPr>
        <w:ind w:left="4320" w:hanging="180"/>
      </w:pPr>
    </w:lvl>
    <w:lvl w:ilvl="6" w:tplc="999C7ECE" w:tentative="1">
      <w:start w:val="1"/>
      <w:numFmt w:val="decimal"/>
      <w:lvlText w:val="%7."/>
      <w:lvlJc w:val="left"/>
      <w:pPr>
        <w:ind w:left="5040" w:hanging="360"/>
      </w:pPr>
    </w:lvl>
    <w:lvl w:ilvl="7" w:tplc="04EE912A" w:tentative="1">
      <w:start w:val="1"/>
      <w:numFmt w:val="lowerLetter"/>
      <w:lvlText w:val="%8."/>
      <w:lvlJc w:val="left"/>
      <w:pPr>
        <w:ind w:left="5760" w:hanging="360"/>
      </w:pPr>
    </w:lvl>
    <w:lvl w:ilvl="8" w:tplc="60341660" w:tentative="1">
      <w:start w:val="1"/>
      <w:numFmt w:val="lowerRoman"/>
      <w:lvlText w:val="%9."/>
      <w:lvlJc w:val="right"/>
      <w:pPr>
        <w:ind w:left="6480" w:hanging="180"/>
      </w:pPr>
    </w:lvl>
  </w:abstractNum>
  <w:abstractNum w:abstractNumId="3" w15:restartNumberingAfterBreak="1">
    <w:nsid w:val="5A3F7A07"/>
    <w:multiLevelType w:val="hybridMultilevel"/>
    <w:tmpl w:val="A552BFFA"/>
    <w:lvl w:ilvl="0" w:tplc="CB74C10E">
      <w:start w:val="1"/>
      <w:numFmt w:val="decimal"/>
      <w:lvlText w:val="%1."/>
      <w:lvlJc w:val="left"/>
      <w:pPr>
        <w:ind w:left="720" w:hanging="360"/>
      </w:pPr>
      <w:rPr>
        <w:rFonts w:hint="default"/>
      </w:rPr>
    </w:lvl>
    <w:lvl w:ilvl="1" w:tplc="ED9C151A" w:tentative="1">
      <w:start w:val="1"/>
      <w:numFmt w:val="lowerLetter"/>
      <w:lvlText w:val="%2."/>
      <w:lvlJc w:val="left"/>
      <w:pPr>
        <w:ind w:left="1440" w:hanging="360"/>
      </w:pPr>
    </w:lvl>
    <w:lvl w:ilvl="2" w:tplc="EC1A54E8" w:tentative="1">
      <w:start w:val="1"/>
      <w:numFmt w:val="lowerRoman"/>
      <w:lvlText w:val="%3."/>
      <w:lvlJc w:val="right"/>
      <w:pPr>
        <w:ind w:left="2160" w:hanging="180"/>
      </w:pPr>
    </w:lvl>
    <w:lvl w:ilvl="3" w:tplc="9DC88174" w:tentative="1">
      <w:start w:val="1"/>
      <w:numFmt w:val="decimal"/>
      <w:lvlText w:val="%4."/>
      <w:lvlJc w:val="left"/>
      <w:pPr>
        <w:ind w:left="2880" w:hanging="360"/>
      </w:pPr>
    </w:lvl>
    <w:lvl w:ilvl="4" w:tplc="A964F762" w:tentative="1">
      <w:start w:val="1"/>
      <w:numFmt w:val="lowerLetter"/>
      <w:lvlText w:val="%5."/>
      <w:lvlJc w:val="left"/>
      <w:pPr>
        <w:ind w:left="3600" w:hanging="360"/>
      </w:pPr>
    </w:lvl>
    <w:lvl w:ilvl="5" w:tplc="22022238" w:tentative="1">
      <w:start w:val="1"/>
      <w:numFmt w:val="lowerRoman"/>
      <w:lvlText w:val="%6."/>
      <w:lvlJc w:val="right"/>
      <w:pPr>
        <w:ind w:left="4320" w:hanging="180"/>
      </w:pPr>
    </w:lvl>
    <w:lvl w:ilvl="6" w:tplc="491C33B0" w:tentative="1">
      <w:start w:val="1"/>
      <w:numFmt w:val="decimal"/>
      <w:lvlText w:val="%7."/>
      <w:lvlJc w:val="left"/>
      <w:pPr>
        <w:ind w:left="5040" w:hanging="360"/>
      </w:pPr>
    </w:lvl>
    <w:lvl w:ilvl="7" w:tplc="46AA4692" w:tentative="1">
      <w:start w:val="1"/>
      <w:numFmt w:val="lowerLetter"/>
      <w:lvlText w:val="%8."/>
      <w:lvlJc w:val="left"/>
      <w:pPr>
        <w:ind w:left="5760" w:hanging="360"/>
      </w:pPr>
    </w:lvl>
    <w:lvl w:ilvl="8" w:tplc="A91C4B3E" w:tentative="1">
      <w:start w:val="1"/>
      <w:numFmt w:val="lowerRoman"/>
      <w:lvlText w:val="%9."/>
      <w:lvlJc w:val="right"/>
      <w:pPr>
        <w:ind w:left="6480" w:hanging="180"/>
      </w:pPr>
    </w:lvl>
  </w:abstractNum>
  <w:abstractNum w:abstractNumId="4" w15:restartNumberingAfterBreak="0">
    <w:nsid w:val="66516F25"/>
    <w:multiLevelType w:val="hybridMultilevel"/>
    <w:tmpl w:val="7B224B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02E"/>
    <w:rsid w:val="00005CB3"/>
    <w:rsid w:val="0000658D"/>
    <w:rsid w:val="0001783B"/>
    <w:rsid w:val="0002541D"/>
    <w:rsid w:val="00027DC9"/>
    <w:rsid w:val="000315E2"/>
    <w:rsid w:val="00033651"/>
    <w:rsid w:val="00035EC9"/>
    <w:rsid w:val="000408B3"/>
    <w:rsid w:val="00040C19"/>
    <w:rsid w:val="00043D10"/>
    <w:rsid w:val="00052689"/>
    <w:rsid w:val="00054838"/>
    <w:rsid w:val="00054921"/>
    <w:rsid w:val="000566E0"/>
    <w:rsid w:val="000621E9"/>
    <w:rsid w:val="00067BA5"/>
    <w:rsid w:val="000708C3"/>
    <w:rsid w:val="00071DFF"/>
    <w:rsid w:val="000808BA"/>
    <w:rsid w:val="000971F4"/>
    <w:rsid w:val="000A4DA8"/>
    <w:rsid w:val="000A6D83"/>
    <w:rsid w:val="000B54DC"/>
    <w:rsid w:val="000B673B"/>
    <w:rsid w:val="000C149D"/>
    <w:rsid w:val="000C45C0"/>
    <w:rsid w:val="000C5F6C"/>
    <w:rsid w:val="000C60CE"/>
    <w:rsid w:val="000C6651"/>
    <w:rsid w:val="000D41E2"/>
    <w:rsid w:val="000D51EF"/>
    <w:rsid w:val="000E219C"/>
    <w:rsid w:val="000E2AF6"/>
    <w:rsid w:val="000E478D"/>
    <w:rsid w:val="000E4C8A"/>
    <w:rsid w:val="000E4F88"/>
    <w:rsid w:val="000E7966"/>
    <w:rsid w:val="000F356E"/>
    <w:rsid w:val="000F51EE"/>
    <w:rsid w:val="000F7778"/>
    <w:rsid w:val="0010042C"/>
    <w:rsid w:val="00100F5F"/>
    <w:rsid w:val="00103DE5"/>
    <w:rsid w:val="0011127C"/>
    <w:rsid w:val="00113A39"/>
    <w:rsid w:val="0011521D"/>
    <w:rsid w:val="00121389"/>
    <w:rsid w:val="00125884"/>
    <w:rsid w:val="00127CBC"/>
    <w:rsid w:val="0013136E"/>
    <w:rsid w:val="00131B42"/>
    <w:rsid w:val="00134089"/>
    <w:rsid w:val="00135351"/>
    <w:rsid w:val="00136E03"/>
    <w:rsid w:val="0014073D"/>
    <w:rsid w:val="00142735"/>
    <w:rsid w:val="00153397"/>
    <w:rsid w:val="0015371D"/>
    <w:rsid w:val="00154BE9"/>
    <w:rsid w:val="0016547F"/>
    <w:rsid w:val="0016709D"/>
    <w:rsid w:val="00170328"/>
    <w:rsid w:val="00172558"/>
    <w:rsid w:val="001738B2"/>
    <w:rsid w:val="001755D5"/>
    <w:rsid w:val="00180B04"/>
    <w:rsid w:val="00181341"/>
    <w:rsid w:val="00182348"/>
    <w:rsid w:val="00183810"/>
    <w:rsid w:val="0018464E"/>
    <w:rsid w:val="00184EF4"/>
    <w:rsid w:val="001974AC"/>
    <w:rsid w:val="001B0CB1"/>
    <w:rsid w:val="001B3673"/>
    <w:rsid w:val="001C5009"/>
    <w:rsid w:val="001D05CE"/>
    <w:rsid w:val="001D1529"/>
    <w:rsid w:val="001D779B"/>
    <w:rsid w:val="001E1286"/>
    <w:rsid w:val="001F14D5"/>
    <w:rsid w:val="001F7FB1"/>
    <w:rsid w:val="002015A6"/>
    <w:rsid w:val="00204E7C"/>
    <w:rsid w:val="00205B4A"/>
    <w:rsid w:val="002064B2"/>
    <w:rsid w:val="002129D8"/>
    <w:rsid w:val="00213A55"/>
    <w:rsid w:val="00215896"/>
    <w:rsid w:val="00217C65"/>
    <w:rsid w:val="0023073A"/>
    <w:rsid w:val="002334B4"/>
    <w:rsid w:val="00234015"/>
    <w:rsid w:val="00234474"/>
    <w:rsid w:val="00234D91"/>
    <w:rsid w:val="002409C8"/>
    <w:rsid w:val="002419FA"/>
    <w:rsid w:val="002429F1"/>
    <w:rsid w:val="00243426"/>
    <w:rsid w:val="002438DB"/>
    <w:rsid w:val="00244FF6"/>
    <w:rsid w:val="00246884"/>
    <w:rsid w:val="0025603D"/>
    <w:rsid w:val="00256555"/>
    <w:rsid w:val="0026472F"/>
    <w:rsid w:val="00265BB6"/>
    <w:rsid w:val="00275CEC"/>
    <w:rsid w:val="00277B42"/>
    <w:rsid w:val="00280EEE"/>
    <w:rsid w:val="00283431"/>
    <w:rsid w:val="00284A14"/>
    <w:rsid w:val="002949C7"/>
    <w:rsid w:val="002A1CE9"/>
    <w:rsid w:val="002B643D"/>
    <w:rsid w:val="002C0442"/>
    <w:rsid w:val="002C0811"/>
    <w:rsid w:val="002C1556"/>
    <w:rsid w:val="002C437B"/>
    <w:rsid w:val="002D1EE2"/>
    <w:rsid w:val="002D2B97"/>
    <w:rsid w:val="002D3DE4"/>
    <w:rsid w:val="002E0D27"/>
    <w:rsid w:val="002E1C05"/>
    <w:rsid w:val="002E72F4"/>
    <w:rsid w:val="002F6931"/>
    <w:rsid w:val="003046D4"/>
    <w:rsid w:val="00304B0F"/>
    <w:rsid w:val="003050E4"/>
    <w:rsid w:val="0031285A"/>
    <w:rsid w:val="0031420D"/>
    <w:rsid w:val="003244FD"/>
    <w:rsid w:val="00342D63"/>
    <w:rsid w:val="003530B2"/>
    <w:rsid w:val="00361946"/>
    <w:rsid w:val="00370555"/>
    <w:rsid w:val="003817CE"/>
    <w:rsid w:val="003906ED"/>
    <w:rsid w:val="00392CF9"/>
    <w:rsid w:val="0039328F"/>
    <w:rsid w:val="00394559"/>
    <w:rsid w:val="003A12C6"/>
    <w:rsid w:val="003A1315"/>
    <w:rsid w:val="003A2A3B"/>
    <w:rsid w:val="003A5222"/>
    <w:rsid w:val="003B0BF9"/>
    <w:rsid w:val="003B1941"/>
    <w:rsid w:val="003B34DA"/>
    <w:rsid w:val="003B7290"/>
    <w:rsid w:val="003D03E0"/>
    <w:rsid w:val="003D78AD"/>
    <w:rsid w:val="003E0791"/>
    <w:rsid w:val="003E09C7"/>
    <w:rsid w:val="003E54B7"/>
    <w:rsid w:val="003E5BB5"/>
    <w:rsid w:val="003F28AC"/>
    <w:rsid w:val="003F779F"/>
    <w:rsid w:val="00407180"/>
    <w:rsid w:val="004073A8"/>
    <w:rsid w:val="00410FB9"/>
    <w:rsid w:val="0041105D"/>
    <w:rsid w:val="00417E92"/>
    <w:rsid w:val="0042051F"/>
    <w:rsid w:val="00420BA8"/>
    <w:rsid w:val="00420EA5"/>
    <w:rsid w:val="004210AF"/>
    <w:rsid w:val="004238B6"/>
    <w:rsid w:val="0042629F"/>
    <w:rsid w:val="004274B8"/>
    <w:rsid w:val="004307AF"/>
    <w:rsid w:val="004320A2"/>
    <w:rsid w:val="0043556B"/>
    <w:rsid w:val="00441292"/>
    <w:rsid w:val="00442EAA"/>
    <w:rsid w:val="004454FE"/>
    <w:rsid w:val="00447606"/>
    <w:rsid w:val="0045034F"/>
    <w:rsid w:val="00452E5A"/>
    <w:rsid w:val="00456E40"/>
    <w:rsid w:val="004674AF"/>
    <w:rsid w:val="00471F27"/>
    <w:rsid w:val="00475171"/>
    <w:rsid w:val="00477A4B"/>
    <w:rsid w:val="00477C91"/>
    <w:rsid w:val="004877D2"/>
    <w:rsid w:val="00490BC4"/>
    <w:rsid w:val="00492359"/>
    <w:rsid w:val="004934DE"/>
    <w:rsid w:val="00494A1F"/>
    <w:rsid w:val="004A21B0"/>
    <w:rsid w:val="004A3B03"/>
    <w:rsid w:val="004A5B17"/>
    <w:rsid w:val="004B0110"/>
    <w:rsid w:val="004B10AF"/>
    <w:rsid w:val="004B7DE9"/>
    <w:rsid w:val="004C02E3"/>
    <w:rsid w:val="004C1874"/>
    <w:rsid w:val="004C1FE1"/>
    <w:rsid w:val="004C3CB3"/>
    <w:rsid w:val="004C4A83"/>
    <w:rsid w:val="004C78A3"/>
    <w:rsid w:val="004D2743"/>
    <w:rsid w:val="004E2258"/>
    <w:rsid w:val="004E6966"/>
    <w:rsid w:val="004E7B8A"/>
    <w:rsid w:val="004F7C5D"/>
    <w:rsid w:val="005005F6"/>
    <w:rsid w:val="0050178F"/>
    <w:rsid w:val="00501D01"/>
    <w:rsid w:val="00503667"/>
    <w:rsid w:val="005037A5"/>
    <w:rsid w:val="00515458"/>
    <w:rsid w:val="00517162"/>
    <w:rsid w:val="00521E60"/>
    <w:rsid w:val="00523FAE"/>
    <w:rsid w:val="00526465"/>
    <w:rsid w:val="00533476"/>
    <w:rsid w:val="005365B7"/>
    <w:rsid w:val="005401D2"/>
    <w:rsid w:val="00551FF8"/>
    <w:rsid w:val="00552437"/>
    <w:rsid w:val="005545A4"/>
    <w:rsid w:val="00555B87"/>
    <w:rsid w:val="005578C4"/>
    <w:rsid w:val="005627C7"/>
    <w:rsid w:val="00570916"/>
    <w:rsid w:val="005862D0"/>
    <w:rsid w:val="005A3ACA"/>
    <w:rsid w:val="005A41BA"/>
    <w:rsid w:val="005A51F8"/>
    <w:rsid w:val="005A77E6"/>
    <w:rsid w:val="005A7C92"/>
    <w:rsid w:val="005B4D5D"/>
    <w:rsid w:val="005C363F"/>
    <w:rsid w:val="005C3809"/>
    <w:rsid w:val="005D02A9"/>
    <w:rsid w:val="005D08BB"/>
    <w:rsid w:val="005D1A47"/>
    <w:rsid w:val="005D1A4D"/>
    <w:rsid w:val="005D444B"/>
    <w:rsid w:val="005D5293"/>
    <w:rsid w:val="005D565D"/>
    <w:rsid w:val="005D6B9A"/>
    <w:rsid w:val="005E454E"/>
    <w:rsid w:val="005F0988"/>
    <w:rsid w:val="005F1ADD"/>
    <w:rsid w:val="00607E5D"/>
    <w:rsid w:val="00617B58"/>
    <w:rsid w:val="00620EDB"/>
    <w:rsid w:val="00630AAD"/>
    <w:rsid w:val="00640AEC"/>
    <w:rsid w:val="00642714"/>
    <w:rsid w:val="0064436C"/>
    <w:rsid w:val="0064447A"/>
    <w:rsid w:val="0065014B"/>
    <w:rsid w:val="006505A8"/>
    <w:rsid w:val="00655AF3"/>
    <w:rsid w:val="00655F2C"/>
    <w:rsid w:val="00664C42"/>
    <w:rsid w:val="00666C6E"/>
    <w:rsid w:val="00675DF3"/>
    <w:rsid w:val="00692948"/>
    <w:rsid w:val="006932EE"/>
    <w:rsid w:val="006A122E"/>
    <w:rsid w:val="006A2D81"/>
    <w:rsid w:val="006A6C67"/>
    <w:rsid w:val="006A7856"/>
    <w:rsid w:val="006C266A"/>
    <w:rsid w:val="006C5741"/>
    <w:rsid w:val="006C5DF8"/>
    <w:rsid w:val="006D4260"/>
    <w:rsid w:val="006E1081"/>
    <w:rsid w:val="006E75D8"/>
    <w:rsid w:val="006F2CE2"/>
    <w:rsid w:val="006F49D0"/>
    <w:rsid w:val="006F6EE0"/>
    <w:rsid w:val="007007FB"/>
    <w:rsid w:val="00705E63"/>
    <w:rsid w:val="00710DF1"/>
    <w:rsid w:val="00714ACB"/>
    <w:rsid w:val="00716AB5"/>
    <w:rsid w:val="00720585"/>
    <w:rsid w:val="00723325"/>
    <w:rsid w:val="00726A9F"/>
    <w:rsid w:val="00732CE4"/>
    <w:rsid w:val="00733379"/>
    <w:rsid w:val="007357B7"/>
    <w:rsid w:val="00737D8A"/>
    <w:rsid w:val="00742FDE"/>
    <w:rsid w:val="007449F6"/>
    <w:rsid w:val="0074770D"/>
    <w:rsid w:val="0075302D"/>
    <w:rsid w:val="007560E5"/>
    <w:rsid w:val="00765C19"/>
    <w:rsid w:val="0076758B"/>
    <w:rsid w:val="00767B11"/>
    <w:rsid w:val="00773AF6"/>
    <w:rsid w:val="00773CA6"/>
    <w:rsid w:val="00775B68"/>
    <w:rsid w:val="007767C3"/>
    <w:rsid w:val="00776DC1"/>
    <w:rsid w:val="007807AA"/>
    <w:rsid w:val="007828E7"/>
    <w:rsid w:val="00784CD4"/>
    <w:rsid w:val="00787E18"/>
    <w:rsid w:val="00795F71"/>
    <w:rsid w:val="00796248"/>
    <w:rsid w:val="007A1C65"/>
    <w:rsid w:val="007A5140"/>
    <w:rsid w:val="007B594D"/>
    <w:rsid w:val="007C1ADA"/>
    <w:rsid w:val="007C61DB"/>
    <w:rsid w:val="007D488B"/>
    <w:rsid w:val="007E55DE"/>
    <w:rsid w:val="007E57A0"/>
    <w:rsid w:val="007E5F7A"/>
    <w:rsid w:val="007E73AB"/>
    <w:rsid w:val="007E7AB9"/>
    <w:rsid w:val="007F4015"/>
    <w:rsid w:val="007F5379"/>
    <w:rsid w:val="00801F6B"/>
    <w:rsid w:val="008105E5"/>
    <w:rsid w:val="00811C0C"/>
    <w:rsid w:val="00816C11"/>
    <w:rsid w:val="00832616"/>
    <w:rsid w:val="00834B5F"/>
    <w:rsid w:val="00837661"/>
    <w:rsid w:val="00845967"/>
    <w:rsid w:val="00853560"/>
    <w:rsid w:val="00853EAC"/>
    <w:rsid w:val="00855D9A"/>
    <w:rsid w:val="00856C63"/>
    <w:rsid w:val="00863809"/>
    <w:rsid w:val="0086452E"/>
    <w:rsid w:val="00866633"/>
    <w:rsid w:val="00882A00"/>
    <w:rsid w:val="00883E54"/>
    <w:rsid w:val="008869C5"/>
    <w:rsid w:val="00894C55"/>
    <w:rsid w:val="00897193"/>
    <w:rsid w:val="008A1BF8"/>
    <w:rsid w:val="008A6AF7"/>
    <w:rsid w:val="008A7808"/>
    <w:rsid w:val="008B26A2"/>
    <w:rsid w:val="008B2E2F"/>
    <w:rsid w:val="008C2E92"/>
    <w:rsid w:val="008D2218"/>
    <w:rsid w:val="008D3E90"/>
    <w:rsid w:val="008D4002"/>
    <w:rsid w:val="008E09DF"/>
    <w:rsid w:val="008E4C48"/>
    <w:rsid w:val="008E79B5"/>
    <w:rsid w:val="008F22A4"/>
    <w:rsid w:val="00900022"/>
    <w:rsid w:val="009003E7"/>
    <w:rsid w:val="00905793"/>
    <w:rsid w:val="00910CFE"/>
    <w:rsid w:val="00913445"/>
    <w:rsid w:val="00916557"/>
    <w:rsid w:val="00917C3E"/>
    <w:rsid w:val="00921DCB"/>
    <w:rsid w:val="00922207"/>
    <w:rsid w:val="00923556"/>
    <w:rsid w:val="00927F48"/>
    <w:rsid w:val="00932841"/>
    <w:rsid w:val="00934028"/>
    <w:rsid w:val="009417DF"/>
    <w:rsid w:val="009455AA"/>
    <w:rsid w:val="00946192"/>
    <w:rsid w:val="009518A8"/>
    <w:rsid w:val="00960D81"/>
    <w:rsid w:val="00962A1C"/>
    <w:rsid w:val="00962D92"/>
    <w:rsid w:val="009659A6"/>
    <w:rsid w:val="00975354"/>
    <w:rsid w:val="0098205C"/>
    <w:rsid w:val="00982332"/>
    <w:rsid w:val="009853B7"/>
    <w:rsid w:val="00992EB5"/>
    <w:rsid w:val="0099660A"/>
    <w:rsid w:val="0099736D"/>
    <w:rsid w:val="009A2654"/>
    <w:rsid w:val="009A426A"/>
    <w:rsid w:val="009A68E1"/>
    <w:rsid w:val="009A69DB"/>
    <w:rsid w:val="009A75EB"/>
    <w:rsid w:val="009B1D67"/>
    <w:rsid w:val="009B5913"/>
    <w:rsid w:val="009D06D7"/>
    <w:rsid w:val="009D1286"/>
    <w:rsid w:val="009D2F03"/>
    <w:rsid w:val="009D5F8E"/>
    <w:rsid w:val="009E08FA"/>
    <w:rsid w:val="009E35DB"/>
    <w:rsid w:val="009E48F2"/>
    <w:rsid w:val="009E741C"/>
    <w:rsid w:val="009E7AA1"/>
    <w:rsid w:val="009F4C10"/>
    <w:rsid w:val="009F530A"/>
    <w:rsid w:val="00A0062D"/>
    <w:rsid w:val="00A01A9F"/>
    <w:rsid w:val="00A026EB"/>
    <w:rsid w:val="00A05EDD"/>
    <w:rsid w:val="00A10FC3"/>
    <w:rsid w:val="00A11215"/>
    <w:rsid w:val="00A14BB9"/>
    <w:rsid w:val="00A15C8D"/>
    <w:rsid w:val="00A221D9"/>
    <w:rsid w:val="00A2332A"/>
    <w:rsid w:val="00A429BA"/>
    <w:rsid w:val="00A465F4"/>
    <w:rsid w:val="00A467CF"/>
    <w:rsid w:val="00A527E1"/>
    <w:rsid w:val="00A53477"/>
    <w:rsid w:val="00A53F92"/>
    <w:rsid w:val="00A551F7"/>
    <w:rsid w:val="00A554E4"/>
    <w:rsid w:val="00A6073E"/>
    <w:rsid w:val="00A65A48"/>
    <w:rsid w:val="00A7336C"/>
    <w:rsid w:val="00A76C37"/>
    <w:rsid w:val="00A76EE2"/>
    <w:rsid w:val="00A77254"/>
    <w:rsid w:val="00A82886"/>
    <w:rsid w:val="00A952BA"/>
    <w:rsid w:val="00AA0398"/>
    <w:rsid w:val="00AB0595"/>
    <w:rsid w:val="00AC253E"/>
    <w:rsid w:val="00AD6839"/>
    <w:rsid w:val="00AD76D4"/>
    <w:rsid w:val="00AD7A37"/>
    <w:rsid w:val="00AE1E20"/>
    <w:rsid w:val="00AE36D1"/>
    <w:rsid w:val="00AE428F"/>
    <w:rsid w:val="00AE5567"/>
    <w:rsid w:val="00AE70EE"/>
    <w:rsid w:val="00AF1239"/>
    <w:rsid w:val="00AF24D0"/>
    <w:rsid w:val="00AF27B5"/>
    <w:rsid w:val="00AF3BF7"/>
    <w:rsid w:val="00AF4AF6"/>
    <w:rsid w:val="00AF5018"/>
    <w:rsid w:val="00B009FD"/>
    <w:rsid w:val="00B01025"/>
    <w:rsid w:val="00B06B17"/>
    <w:rsid w:val="00B11655"/>
    <w:rsid w:val="00B117B5"/>
    <w:rsid w:val="00B11F22"/>
    <w:rsid w:val="00B120FF"/>
    <w:rsid w:val="00B14A9F"/>
    <w:rsid w:val="00B16480"/>
    <w:rsid w:val="00B2165C"/>
    <w:rsid w:val="00B247C9"/>
    <w:rsid w:val="00B32220"/>
    <w:rsid w:val="00B41AF3"/>
    <w:rsid w:val="00B46C29"/>
    <w:rsid w:val="00B46EE6"/>
    <w:rsid w:val="00B54D43"/>
    <w:rsid w:val="00B576A4"/>
    <w:rsid w:val="00B6668B"/>
    <w:rsid w:val="00B7245E"/>
    <w:rsid w:val="00B73F02"/>
    <w:rsid w:val="00B80228"/>
    <w:rsid w:val="00B838EC"/>
    <w:rsid w:val="00B949DB"/>
    <w:rsid w:val="00B957E3"/>
    <w:rsid w:val="00BA20AA"/>
    <w:rsid w:val="00BA4D48"/>
    <w:rsid w:val="00BA787B"/>
    <w:rsid w:val="00BB425A"/>
    <w:rsid w:val="00BC0727"/>
    <w:rsid w:val="00BC49DC"/>
    <w:rsid w:val="00BC60C2"/>
    <w:rsid w:val="00BC6BCC"/>
    <w:rsid w:val="00BD017D"/>
    <w:rsid w:val="00BD40C3"/>
    <w:rsid w:val="00BD4425"/>
    <w:rsid w:val="00BD52CE"/>
    <w:rsid w:val="00BD770C"/>
    <w:rsid w:val="00BE0231"/>
    <w:rsid w:val="00BE03BD"/>
    <w:rsid w:val="00BE0583"/>
    <w:rsid w:val="00BE335F"/>
    <w:rsid w:val="00BE75D8"/>
    <w:rsid w:val="00BF031C"/>
    <w:rsid w:val="00BF2F92"/>
    <w:rsid w:val="00BF59E8"/>
    <w:rsid w:val="00BF5CED"/>
    <w:rsid w:val="00C023A5"/>
    <w:rsid w:val="00C1262A"/>
    <w:rsid w:val="00C12C03"/>
    <w:rsid w:val="00C14357"/>
    <w:rsid w:val="00C257AF"/>
    <w:rsid w:val="00C25B49"/>
    <w:rsid w:val="00C270DA"/>
    <w:rsid w:val="00C35FD3"/>
    <w:rsid w:val="00C56935"/>
    <w:rsid w:val="00C60AB5"/>
    <w:rsid w:val="00C60DFE"/>
    <w:rsid w:val="00C63CBB"/>
    <w:rsid w:val="00C64F22"/>
    <w:rsid w:val="00C65890"/>
    <w:rsid w:val="00C65948"/>
    <w:rsid w:val="00C70BDA"/>
    <w:rsid w:val="00C741D7"/>
    <w:rsid w:val="00C74808"/>
    <w:rsid w:val="00C8020C"/>
    <w:rsid w:val="00C8324A"/>
    <w:rsid w:val="00C85518"/>
    <w:rsid w:val="00C8653D"/>
    <w:rsid w:val="00C86DDB"/>
    <w:rsid w:val="00C90872"/>
    <w:rsid w:val="00C92EBE"/>
    <w:rsid w:val="00C9777E"/>
    <w:rsid w:val="00CA0D9E"/>
    <w:rsid w:val="00CA1AD9"/>
    <w:rsid w:val="00CA46B6"/>
    <w:rsid w:val="00CB5166"/>
    <w:rsid w:val="00CC0D2D"/>
    <w:rsid w:val="00CC2F4B"/>
    <w:rsid w:val="00CC3DB5"/>
    <w:rsid w:val="00CC59A8"/>
    <w:rsid w:val="00CD0FC1"/>
    <w:rsid w:val="00CD178B"/>
    <w:rsid w:val="00CD1AB4"/>
    <w:rsid w:val="00CD278E"/>
    <w:rsid w:val="00CD2FF6"/>
    <w:rsid w:val="00CD4F71"/>
    <w:rsid w:val="00CD6A4B"/>
    <w:rsid w:val="00CE5657"/>
    <w:rsid w:val="00CF2004"/>
    <w:rsid w:val="00D03701"/>
    <w:rsid w:val="00D06088"/>
    <w:rsid w:val="00D06255"/>
    <w:rsid w:val="00D133F8"/>
    <w:rsid w:val="00D14A3E"/>
    <w:rsid w:val="00D17E7F"/>
    <w:rsid w:val="00D21022"/>
    <w:rsid w:val="00D23399"/>
    <w:rsid w:val="00D4235B"/>
    <w:rsid w:val="00D43C04"/>
    <w:rsid w:val="00D44150"/>
    <w:rsid w:val="00D46E65"/>
    <w:rsid w:val="00D52F45"/>
    <w:rsid w:val="00D61868"/>
    <w:rsid w:val="00D65332"/>
    <w:rsid w:val="00D75D76"/>
    <w:rsid w:val="00D76AD6"/>
    <w:rsid w:val="00D77315"/>
    <w:rsid w:val="00D81DF2"/>
    <w:rsid w:val="00D91A29"/>
    <w:rsid w:val="00D91D02"/>
    <w:rsid w:val="00DA4CEE"/>
    <w:rsid w:val="00DA670A"/>
    <w:rsid w:val="00DB41EF"/>
    <w:rsid w:val="00DB6346"/>
    <w:rsid w:val="00DB7254"/>
    <w:rsid w:val="00DC4EB2"/>
    <w:rsid w:val="00DD535C"/>
    <w:rsid w:val="00DD774B"/>
    <w:rsid w:val="00DE34F4"/>
    <w:rsid w:val="00DE55A4"/>
    <w:rsid w:val="00DE6248"/>
    <w:rsid w:val="00DE724B"/>
    <w:rsid w:val="00DE7A86"/>
    <w:rsid w:val="00E07682"/>
    <w:rsid w:val="00E07839"/>
    <w:rsid w:val="00E11210"/>
    <w:rsid w:val="00E11590"/>
    <w:rsid w:val="00E15E42"/>
    <w:rsid w:val="00E17412"/>
    <w:rsid w:val="00E32BF3"/>
    <w:rsid w:val="00E3623B"/>
    <w:rsid w:val="00E3716B"/>
    <w:rsid w:val="00E373A9"/>
    <w:rsid w:val="00E37A01"/>
    <w:rsid w:val="00E37A31"/>
    <w:rsid w:val="00E405EB"/>
    <w:rsid w:val="00E44ADF"/>
    <w:rsid w:val="00E45719"/>
    <w:rsid w:val="00E46178"/>
    <w:rsid w:val="00E5323B"/>
    <w:rsid w:val="00E5383B"/>
    <w:rsid w:val="00E54837"/>
    <w:rsid w:val="00E56DC6"/>
    <w:rsid w:val="00E61A95"/>
    <w:rsid w:val="00E66DA1"/>
    <w:rsid w:val="00E72B2C"/>
    <w:rsid w:val="00E74F4E"/>
    <w:rsid w:val="00E769C5"/>
    <w:rsid w:val="00E80C58"/>
    <w:rsid w:val="00E80E47"/>
    <w:rsid w:val="00E81563"/>
    <w:rsid w:val="00E8278F"/>
    <w:rsid w:val="00E8749E"/>
    <w:rsid w:val="00E90589"/>
    <w:rsid w:val="00E9075B"/>
    <w:rsid w:val="00E90C01"/>
    <w:rsid w:val="00E91184"/>
    <w:rsid w:val="00E91BC6"/>
    <w:rsid w:val="00E9567A"/>
    <w:rsid w:val="00EA2A68"/>
    <w:rsid w:val="00EA486E"/>
    <w:rsid w:val="00EA73D6"/>
    <w:rsid w:val="00EA7A43"/>
    <w:rsid w:val="00EB46F3"/>
    <w:rsid w:val="00EC0D63"/>
    <w:rsid w:val="00ED450E"/>
    <w:rsid w:val="00ED67B6"/>
    <w:rsid w:val="00EE3800"/>
    <w:rsid w:val="00EE4BEA"/>
    <w:rsid w:val="00EF3895"/>
    <w:rsid w:val="00EF6506"/>
    <w:rsid w:val="00EF77D2"/>
    <w:rsid w:val="00F02403"/>
    <w:rsid w:val="00F05F76"/>
    <w:rsid w:val="00F05FA3"/>
    <w:rsid w:val="00F074B4"/>
    <w:rsid w:val="00F14122"/>
    <w:rsid w:val="00F17C79"/>
    <w:rsid w:val="00F21C55"/>
    <w:rsid w:val="00F241F8"/>
    <w:rsid w:val="00F26F7F"/>
    <w:rsid w:val="00F271B0"/>
    <w:rsid w:val="00F30159"/>
    <w:rsid w:val="00F400EC"/>
    <w:rsid w:val="00F40991"/>
    <w:rsid w:val="00F42BCB"/>
    <w:rsid w:val="00F43320"/>
    <w:rsid w:val="00F5035F"/>
    <w:rsid w:val="00F5331E"/>
    <w:rsid w:val="00F57B0C"/>
    <w:rsid w:val="00F600FF"/>
    <w:rsid w:val="00F639F7"/>
    <w:rsid w:val="00F715A3"/>
    <w:rsid w:val="00F75759"/>
    <w:rsid w:val="00F75B90"/>
    <w:rsid w:val="00F75D20"/>
    <w:rsid w:val="00F846E9"/>
    <w:rsid w:val="00F865CA"/>
    <w:rsid w:val="00F95046"/>
    <w:rsid w:val="00F95734"/>
    <w:rsid w:val="00F9787A"/>
    <w:rsid w:val="00FA4F7B"/>
    <w:rsid w:val="00FA574F"/>
    <w:rsid w:val="00FB171B"/>
    <w:rsid w:val="00FB2385"/>
    <w:rsid w:val="00FC0DC5"/>
    <w:rsid w:val="00FD069C"/>
    <w:rsid w:val="00FD2404"/>
    <w:rsid w:val="00FD4BD6"/>
    <w:rsid w:val="00FD5268"/>
    <w:rsid w:val="00FD6371"/>
    <w:rsid w:val="00FD71FB"/>
    <w:rsid w:val="00FE3D88"/>
    <w:rsid w:val="00FF10C0"/>
    <w:rsid w:val="00FF2446"/>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7095B"/>
  <w15:docId w15:val="{0E2922F8-C5F0-46BE-B406-7E818B2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Char">
    <w:name w:val="Char"/>
    <w:basedOn w:val="Normal"/>
    <w:rsid w:val="00E3623B"/>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7357B7"/>
    <w:pPr>
      <w:ind w:left="720"/>
      <w:contextualSpacing/>
    </w:pPr>
  </w:style>
  <w:style w:type="character" w:styleId="CommentReference">
    <w:name w:val="annotation reference"/>
    <w:basedOn w:val="DefaultParagraphFont"/>
    <w:uiPriority w:val="99"/>
    <w:semiHidden/>
    <w:unhideWhenUsed/>
    <w:rsid w:val="009B5913"/>
    <w:rPr>
      <w:sz w:val="16"/>
      <w:szCs w:val="16"/>
    </w:rPr>
  </w:style>
  <w:style w:type="paragraph" w:styleId="CommentText">
    <w:name w:val="annotation text"/>
    <w:basedOn w:val="Normal"/>
    <w:link w:val="CommentTextChar"/>
    <w:uiPriority w:val="99"/>
    <w:semiHidden/>
    <w:unhideWhenUsed/>
    <w:rsid w:val="009B5913"/>
    <w:pPr>
      <w:spacing w:line="240" w:lineRule="auto"/>
    </w:pPr>
    <w:rPr>
      <w:sz w:val="20"/>
      <w:szCs w:val="20"/>
    </w:rPr>
  </w:style>
  <w:style w:type="character" w:customStyle="1" w:styleId="CommentTextChar">
    <w:name w:val="Comment Text Char"/>
    <w:basedOn w:val="DefaultParagraphFont"/>
    <w:link w:val="CommentText"/>
    <w:uiPriority w:val="99"/>
    <w:semiHidden/>
    <w:rsid w:val="009B5913"/>
    <w:rPr>
      <w:sz w:val="20"/>
      <w:szCs w:val="20"/>
    </w:rPr>
  </w:style>
  <w:style w:type="paragraph" w:styleId="CommentSubject">
    <w:name w:val="annotation subject"/>
    <w:basedOn w:val="CommentText"/>
    <w:next w:val="CommentText"/>
    <w:link w:val="CommentSubjectChar"/>
    <w:uiPriority w:val="99"/>
    <w:semiHidden/>
    <w:unhideWhenUsed/>
    <w:rsid w:val="009B5913"/>
    <w:rPr>
      <w:b/>
      <w:bCs/>
    </w:rPr>
  </w:style>
  <w:style w:type="character" w:customStyle="1" w:styleId="CommentSubjectChar">
    <w:name w:val="Comment Subject Char"/>
    <w:basedOn w:val="CommentTextChar"/>
    <w:link w:val="CommentSubject"/>
    <w:uiPriority w:val="99"/>
    <w:semiHidden/>
    <w:rsid w:val="009B5913"/>
    <w:rPr>
      <w:b/>
      <w:bCs/>
      <w:sz w:val="20"/>
      <w:szCs w:val="20"/>
    </w:rPr>
  </w:style>
  <w:style w:type="character" w:customStyle="1" w:styleId="Mention1">
    <w:name w:val="Mention1"/>
    <w:basedOn w:val="DefaultParagraphFont"/>
    <w:uiPriority w:val="99"/>
    <w:semiHidden/>
    <w:unhideWhenUsed/>
    <w:rsid w:val="00E56DC6"/>
    <w:rPr>
      <w:color w:val="2B579A"/>
      <w:shd w:val="clear" w:color="auto" w:fill="E6E6E6"/>
    </w:rPr>
  </w:style>
  <w:style w:type="table" w:styleId="TableGrid">
    <w:name w:val="Table Grid"/>
    <w:basedOn w:val="TableNormal"/>
    <w:uiPriority w:val="39"/>
    <w:rsid w:val="00B4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3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E37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A31"/>
    <w:rPr>
      <w:sz w:val="20"/>
      <w:szCs w:val="20"/>
    </w:rPr>
  </w:style>
  <w:style w:type="character" w:styleId="FootnoteReference">
    <w:name w:val="footnote reference"/>
    <w:basedOn w:val="DefaultParagraphFont"/>
    <w:uiPriority w:val="99"/>
    <w:semiHidden/>
    <w:unhideWhenUsed/>
    <w:rsid w:val="00E37A31"/>
    <w:rPr>
      <w:vertAlign w:val="superscript"/>
    </w:rPr>
  </w:style>
  <w:style w:type="character" w:customStyle="1" w:styleId="UnresolvedMention1">
    <w:name w:val="Unresolved Mention1"/>
    <w:basedOn w:val="DefaultParagraphFont"/>
    <w:uiPriority w:val="99"/>
    <w:semiHidden/>
    <w:unhideWhenUsed/>
    <w:rsid w:val="00CC2F4B"/>
    <w:rPr>
      <w:color w:val="808080"/>
      <w:shd w:val="clear" w:color="auto" w:fill="E6E6E6"/>
    </w:rPr>
  </w:style>
  <w:style w:type="paragraph" w:styleId="Revision">
    <w:name w:val="Revision"/>
    <w:hidden/>
    <w:uiPriority w:val="99"/>
    <w:semiHidden/>
    <w:rsid w:val="0075302D"/>
    <w:pPr>
      <w:spacing w:after="0" w:line="240" w:lineRule="auto"/>
    </w:pPr>
  </w:style>
  <w:style w:type="character" w:customStyle="1" w:styleId="Mention2">
    <w:name w:val="Mention2"/>
    <w:basedOn w:val="DefaultParagraphFont"/>
    <w:uiPriority w:val="99"/>
    <w:rsid w:val="009A69DB"/>
    <w:rPr>
      <w:color w:val="2B579A"/>
      <w:shd w:val="clear" w:color="auto" w:fill="E6E6E6"/>
    </w:rPr>
  </w:style>
  <w:style w:type="character" w:styleId="UnresolvedMention">
    <w:name w:val="Unresolved Mention"/>
    <w:basedOn w:val="DefaultParagraphFont"/>
    <w:uiPriority w:val="99"/>
    <w:rsid w:val="0042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3/17/oj/?locale=LV" TargetMode="External"/><Relationship Id="rId13" Type="http://schemas.openxmlformats.org/officeDocument/2006/relationships/hyperlink" Target="http://eur-lex.europa.eu/eli/dir/1993/12/oj/?locale=LV" TargetMode="External"/><Relationship Id="rId18" Type="http://schemas.openxmlformats.org/officeDocument/2006/relationships/hyperlink" Target="http://eur-lex.europa.eu/eli/dir/2009/28/oj/?local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eli/dir/1999/32/oj/?locale=LV" TargetMode="External"/><Relationship Id="rId17" Type="http://schemas.openxmlformats.org/officeDocument/2006/relationships/hyperlink" Target="http://eur-lex.europa.eu/eli/dir/1998/70/oj/?locale=LV" TargetMode="External"/><Relationship Id="rId2" Type="http://schemas.openxmlformats.org/officeDocument/2006/relationships/numbering" Target="numbering.xml"/><Relationship Id="rId16" Type="http://schemas.openxmlformats.org/officeDocument/2006/relationships/hyperlink" Target="http://eur-lex.europa.eu/eli/dir/2015/1513/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1998/70/oj/?locale=LV" TargetMode="External"/><Relationship Id="rId5" Type="http://schemas.openxmlformats.org/officeDocument/2006/relationships/webSettings" Target="webSettings.xml"/><Relationship Id="rId15" Type="http://schemas.openxmlformats.org/officeDocument/2006/relationships/hyperlink" Target="http://eur-lex.europa.eu/eli/dir/1998/70/oj/?locale=LV" TargetMode="External"/><Relationship Id="rId10" Type="http://schemas.openxmlformats.org/officeDocument/2006/relationships/hyperlink" Target="http://eur-lex.europa.eu/eli/dir/2009/30/oj/?locale=LV" TargetMode="External"/><Relationship Id="rId19" Type="http://schemas.openxmlformats.org/officeDocument/2006/relationships/hyperlink" Target="mailto:Helena.Rimsa@em.gov.lv" TargetMode="External"/><Relationship Id="rId4" Type="http://schemas.openxmlformats.org/officeDocument/2006/relationships/settings" Target="settings.xml"/><Relationship Id="rId9" Type="http://schemas.openxmlformats.org/officeDocument/2006/relationships/hyperlink" Target="http://eur-lex.europa.eu/eli/dir/1998/70/oj/?locale=LV" TargetMode="External"/><Relationship Id="rId14" Type="http://schemas.openxmlformats.org/officeDocument/2006/relationships/hyperlink" Target="http://eur-lex.europa.eu/eli/dir/2014/77/oj/?locale=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1506202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9915-4581-4702-A99A-D1EAF242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15129</Words>
  <Characters>8624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Mikus Ramanis</dc:creator>
  <dc:description>67012345, vards.uzvards@mk.gov.lv</dc:description>
  <cp:lastModifiedBy>Helēna Rimša</cp:lastModifiedBy>
  <cp:revision>3</cp:revision>
  <cp:lastPrinted>2018-09-25T09:14:00Z</cp:lastPrinted>
  <dcterms:created xsi:type="dcterms:W3CDTF">2021-11-11T12:14:00Z</dcterms:created>
  <dcterms:modified xsi:type="dcterms:W3CDTF">2021-11-11T12:15:00Z</dcterms:modified>
</cp:coreProperties>
</file>