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p w:rsidR="00375B6C" w:rsidP="00375B6C" w14:paraId="46F9BC4C" w14:textId="77777777">
      <w:pPr>
        <w:jc w:val="center"/>
        <w:rPr>
          <w:b/>
          <w:lang w:val="cs-CZ"/>
        </w:rPr>
      </w:pPr>
    </w:p>
    <w:p w:rsidR="00375B6C" w:rsidRPr="00934D42" w:rsidP="00375B6C" w14:paraId="75B9816E" w14:textId="6CFB085D">
      <w:pPr>
        <w:jc w:val="center"/>
        <w:rPr>
          <w:b/>
          <w:lang w:val="cs-CZ"/>
        </w:rPr>
      </w:pPr>
      <w:r w:rsidRPr="00934D42">
        <w:rPr>
          <w:b/>
        </w:rPr>
        <w:t xml:space="preserve">Latvijas </w:t>
      </w:r>
      <w:r w:rsidRPr="00934D42" w:rsidR="004B084E">
        <w:rPr>
          <w:b/>
          <w:bCs/>
        </w:rPr>
        <w:t>Biozinātņu</w:t>
      </w:r>
      <w:r w:rsidRPr="00934D42" w:rsidR="004B084E">
        <w:rPr>
          <w:b/>
          <w:bCs/>
        </w:rPr>
        <w:t xml:space="preserve"> un tehnoloģiju </w:t>
      </w:r>
      <w:r w:rsidRPr="00934D42">
        <w:rPr>
          <w:b/>
        </w:rPr>
        <w:t>universitātes</w:t>
      </w:r>
      <w:r w:rsidRPr="00934D42">
        <w:rPr>
          <w:b/>
          <w:lang w:val="cs-CZ"/>
        </w:rPr>
        <w:t xml:space="preserve"> darbību reglamentējoš</w:t>
      </w:r>
      <w:r w:rsidRPr="00934D42" w:rsidR="00F036A8">
        <w:rPr>
          <w:b/>
          <w:lang w:val="cs-CZ"/>
        </w:rPr>
        <w:t>o</w:t>
      </w:r>
      <w:r w:rsidRPr="00934D42">
        <w:rPr>
          <w:b/>
          <w:lang w:val="cs-CZ"/>
        </w:rPr>
        <w:t xml:space="preserve"> normatīv</w:t>
      </w:r>
      <w:r w:rsidRPr="00934D42" w:rsidR="00F036A8">
        <w:rPr>
          <w:b/>
          <w:lang w:val="cs-CZ"/>
        </w:rPr>
        <w:t>o</w:t>
      </w:r>
      <w:r w:rsidRPr="00934D42">
        <w:rPr>
          <w:b/>
          <w:lang w:val="cs-CZ"/>
        </w:rPr>
        <w:t xml:space="preserve"> akt</w:t>
      </w:r>
      <w:r w:rsidRPr="00934D42" w:rsidR="00F036A8">
        <w:rPr>
          <w:b/>
          <w:lang w:val="cs-CZ"/>
        </w:rPr>
        <w:t>u saraksts</w:t>
      </w:r>
    </w:p>
    <w:p w:rsidR="00375B6C" w:rsidRPr="00A0729E" w:rsidP="00375B6C" w14:paraId="68A74049" w14:textId="77777777">
      <w:pPr>
        <w:jc w:val="both"/>
        <w:rPr>
          <w:lang w:val="cs-CZ"/>
        </w:rPr>
      </w:pPr>
    </w:p>
    <w:p w:rsidR="009E7D08" w:rsidRPr="00C95BF3" w:rsidP="00CD0A06" w14:paraId="7A0FA19D" w14:textId="730F10E6">
      <w:pPr>
        <w:pStyle w:val="ListParagraph"/>
        <w:numPr>
          <w:ilvl w:val="0"/>
          <w:numId w:val="1"/>
        </w:numPr>
        <w:tabs>
          <w:tab w:val="left" w:pos="426"/>
        </w:tabs>
        <w:ind w:left="425" w:hanging="425"/>
        <w:rPr>
          <w:b/>
          <w:bCs/>
          <w:color w:val="000000" w:themeColor="text1"/>
          <w:lang w:val="cs-CZ"/>
        </w:rPr>
      </w:pPr>
      <w:r w:rsidRPr="00C95BF3">
        <w:rPr>
          <w:b/>
          <w:bCs/>
          <w:lang w:val="cs-CZ"/>
        </w:rPr>
        <w:t xml:space="preserve">Starptautiskie </w:t>
      </w:r>
      <w:r w:rsidRPr="00C95BF3">
        <w:rPr>
          <w:b/>
          <w:bCs/>
          <w:color w:val="000000" w:themeColor="text1"/>
          <w:lang w:val="cs-CZ"/>
        </w:rPr>
        <w:t>tiesību akti:</w:t>
      </w:r>
    </w:p>
    <w:p w:rsidR="009E7D08" w:rsidRPr="009E7D08" w:rsidP="007E6A0A" w14:paraId="24084BE1" w14:textId="0FA377E1">
      <w:pPr>
        <w:pStyle w:val="ListParagraph"/>
        <w:numPr>
          <w:ilvl w:val="1"/>
          <w:numId w:val="2"/>
        </w:numPr>
        <w:ind w:left="425" w:hanging="425"/>
        <w:jc w:val="both"/>
        <w:rPr>
          <w:lang w:val="cs-CZ"/>
        </w:rPr>
      </w:pPr>
      <w:r>
        <w:rPr>
          <w:color w:val="000000" w:themeColor="text1"/>
        </w:rPr>
        <w:t> </w:t>
      </w:r>
      <w:r>
        <w:rPr>
          <w:color w:val="000000" w:themeColor="text1"/>
        </w:rPr>
        <w:t>A</w:t>
      </w:r>
      <w:r>
        <w:rPr>
          <w:color w:val="000000" w:themeColor="text1"/>
        </w:rPr>
        <w:t xml:space="preserve">pvienoto </w:t>
      </w:r>
      <w:r>
        <w:rPr>
          <w:color w:val="000000" w:themeColor="text1"/>
        </w:rPr>
        <w:t>N</w:t>
      </w:r>
      <w:r>
        <w:rPr>
          <w:color w:val="000000" w:themeColor="text1"/>
        </w:rPr>
        <w:t xml:space="preserve">āciju </w:t>
      </w:r>
      <w:r>
        <w:rPr>
          <w:color w:val="000000" w:themeColor="text1"/>
        </w:rPr>
        <w:t>O</w:t>
      </w:r>
      <w:r>
        <w:rPr>
          <w:color w:val="000000" w:themeColor="text1"/>
        </w:rPr>
        <w:t>rganizācijas</w:t>
      </w:r>
      <w:r w:rsidR="006E47FA">
        <w:rPr>
          <w:color w:val="000000" w:themeColor="text1"/>
        </w:rPr>
        <w:t xml:space="preserve"> (turpmāk – ANO)</w:t>
      </w:r>
      <w:r>
        <w:rPr>
          <w:color w:val="000000" w:themeColor="text1"/>
        </w:rPr>
        <w:t xml:space="preserve"> </w:t>
      </w:r>
      <w:r>
        <w:rPr>
          <w:color w:val="000000" w:themeColor="text1"/>
        </w:rPr>
        <w:t xml:space="preserve">1995. gada 21. jūnija </w:t>
      </w:r>
      <w:r>
        <w:rPr>
          <w:color w:val="000000" w:themeColor="text1"/>
        </w:rPr>
        <w:t>Vispārējā konvencija par klimata pārmaiņām</w:t>
      </w:r>
      <w:r w:rsidR="00192663">
        <w:rPr>
          <w:color w:val="000000" w:themeColor="text1"/>
        </w:rPr>
        <w:t xml:space="preserve"> (turpmāk –</w:t>
      </w:r>
      <w:r w:rsidR="008E3111">
        <w:rPr>
          <w:color w:val="000000" w:themeColor="text1"/>
        </w:rPr>
        <w:t xml:space="preserve"> Konvencija</w:t>
      </w:r>
      <w:r w:rsidR="00192663">
        <w:rPr>
          <w:color w:val="000000" w:themeColor="text1"/>
        </w:rPr>
        <w:t>)</w:t>
      </w:r>
      <w:r>
        <w:rPr>
          <w:rStyle w:val="FootnoteReference"/>
          <w:color w:val="000000" w:themeColor="text1"/>
        </w:rPr>
        <w:footnoteReference w:id="2"/>
      </w:r>
      <w:r w:rsidR="00521087">
        <w:rPr>
          <w:color w:val="000000" w:themeColor="text1"/>
        </w:rPr>
        <w:t>.</w:t>
      </w:r>
    </w:p>
    <w:p w:rsidR="009E7D08" w:rsidRPr="009E7D08" w:rsidP="007E6A0A" w14:paraId="128C3535" w14:textId="15F119D8">
      <w:pPr>
        <w:pStyle w:val="ListParagraph"/>
        <w:numPr>
          <w:ilvl w:val="1"/>
          <w:numId w:val="2"/>
        </w:numPr>
        <w:ind w:left="425" w:hanging="425"/>
        <w:jc w:val="both"/>
        <w:rPr>
          <w:lang w:val="cs-CZ"/>
        </w:rPr>
      </w:pPr>
      <w:r>
        <w:rPr>
          <w:lang w:val="cs-CZ"/>
        </w:rPr>
        <w:t> </w:t>
      </w:r>
      <w:r w:rsidRPr="008E3111" w:rsidR="008E3111">
        <w:rPr>
          <w:color w:val="000000" w:themeColor="text1"/>
        </w:rPr>
        <w:t>Konvencija</w:t>
      </w:r>
      <w:r w:rsidR="008E3111">
        <w:rPr>
          <w:color w:val="000000" w:themeColor="text1"/>
        </w:rPr>
        <w:t>s</w:t>
      </w:r>
      <w:r w:rsidRPr="008E3111" w:rsidR="008E3111">
        <w:rPr>
          <w:color w:val="000000" w:themeColor="text1"/>
        </w:rPr>
        <w:t xml:space="preserve"> </w:t>
      </w:r>
      <w:r>
        <w:rPr>
          <w:color w:val="000000" w:themeColor="text1"/>
        </w:rPr>
        <w:t xml:space="preserve">1997. gada 11. decembra </w:t>
      </w:r>
      <w:r>
        <w:rPr>
          <w:color w:val="000000" w:themeColor="text1"/>
        </w:rPr>
        <w:t>Kioto protokols</w:t>
      </w:r>
      <w:r>
        <w:rPr>
          <w:rStyle w:val="FootnoteReference"/>
          <w:color w:val="000000" w:themeColor="text1"/>
        </w:rPr>
        <w:footnoteReference w:id="3"/>
      </w:r>
      <w:r w:rsidR="00521087">
        <w:rPr>
          <w:color w:val="000000" w:themeColor="text1"/>
        </w:rPr>
        <w:t>.</w:t>
      </w:r>
    </w:p>
    <w:p w:rsidR="00FC5403" w:rsidRPr="009E7D08" w:rsidP="007E6A0A" w14:paraId="5EBF5B0F" w14:textId="693FC171">
      <w:pPr>
        <w:pStyle w:val="ListParagraph"/>
        <w:numPr>
          <w:ilvl w:val="1"/>
          <w:numId w:val="2"/>
        </w:numPr>
        <w:ind w:left="425" w:hanging="425"/>
        <w:jc w:val="both"/>
        <w:rPr>
          <w:lang w:val="cs-CZ"/>
        </w:rPr>
      </w:pPr>
      <w:r>
        <w:rPr>
          <w:lang w:val="cs-CZ"/>
        </w:rPr>
        <w:t> </w:t>
      </w:r>
      <w:r w:rsidRPr="008E3111" w:rsidR="008E3111">
        <w:rPr>
          <w:lang w:val="cs-CZ"/>
        </w:rPr>
        <w:t>Konvencija</w:t>
      </w:r>
      <w:r w:rsidR="008E3111">
        <w:rPr>
          <w:lang w:val="cs-CZ"/>
        </w:rPr>
        <w:t>s</w:t>
      </w:r>
      <w:r w:rsidRPr="008E3111" w:rsidR="008E3111">
        <w:rPr>
          <w:lang w:val="cs-CZ"/>
        </w:rPr>
        <w:t xml:space="preserve"> </w:t>
      </w:r>
      <w:r w:rsidR="009E7D08">
        <w:rPr>
          <w:lang w:val="cs-CZ"/>
        </w:rPr>
        <w:t xml:space="preserve">Kioto protokola </w:t>
      </w:r>
      <w:r>
        <w:rPr>
          <w:lang w:val="cs-CZ"/>
        </w:rPr>
        <w:t xml:space="preserve">2012. gada 8. decembra </w:t>
      </w:r>
      <w:r w:rsidR="009E7D08">
        <w:rPr>
          <w:lang w:val="cs-CZ"/>
        </w:rPr>
        <w:t>Dohas grozījums</w:t>
      </w:r>
      <w:r>
        <w:rPr>
          <w:rStyle w:val="FootnoteReference"/>
          <w:lang w:val="cs-CZ"/>
        </w:rPr>
        <w:footnoteReference w:id="4"/>
      </w:r>
      <w:r w:rsidR="00521087">
        <w:rPr>
          <w:lang w:val="cs-CZ"/>
        </w:rPr>
        <w:t>.</w:t>
      </w:r>
    </w:p>
    <w:p w:rsidR="0044601C" w:rsidRPr="00D04C95" w:rsidP="007E6A0A" w14:paraId="56002EBF" w14:textId="3DA930DC">
      <w:pPr>
        <w:pStyle w:val="ListParagraph"/>
        <w:numPr>
          <w:ilvl w:val="1"/>
          <w:numId w:val="2"/>
        </w:numPr>
        <w:ind w:left="425" w:hanging="425"/>
        <w:jc w:val="both"/>
        <w:rPr>
          <w:lang w:val="cs-CZ"/>
        </w:rPr>
      </w:pPr>
      <w:r>
        <w:rPr>
          <w:spacing w:val="-4"/>
        </w:rPr>
        <w:t> </w:t>
      </w:r>
      <w:r w:rsidRPr="005254BF" w:rsidR="00D04C95">
        <w:rPr>
          <w:spacing w:val="-4"/>
        </w:rPr>
        <w:t>Konven</w:t>
      </w:r>
      <w:r w:rsidR="00D04C95">
        <w:rPr>
          <w:spacing w:val="-4"/>
        </w:rPr>
        <w:t>cijas Lī</w:t>
      </w:r>
      <w:r w:rsidR="00574A82">
        <w:rPr>
          <w:spacing w:val="-4"/>
        </w:rPr>
        <w:t xml:space="preserve">gumslēdzēju pušu </w:t>
      </w:r>
      <w:r w:rsidR="005F62C2">
        <w:rPr>
          <w:spacing w:val="-4"/>
        </w:rPr>
        <w:t xml:space="preserve">sanāksmes </w:t>
      </w:r>
      <w:r>
        <w:rPr>
          <w:spacing w:val="-4"/>
        </w:rPr>
        <w:t xml:space="preserve">19. sesijas, kas notika 2013. gada 11-23. novembrī Varšavā, </w:t>
      </w:r>
      <w:r w:rsidR="00574A82">
        <w:rPr>
          <w:spacing w:val="-4"/>
        </w:rPr>
        <w:t>lēmum</w:t>
      </w:r>
      <w:r w:rsidR="00D04C95">
        <w:rPr>
          <w:spacing w:val="-4"/>
        </w:rPr>
        <w:t xml:space="preserve">s </w:t>
      </w:r>
      <w:r w:rsidRPr="005254BF" w:rsidR="00D04C95">
        <w:rPr>
          <w:spacing w:val="-4"/>
        </w:rPr>
        <w:t>24/CP.19</w:t>
      </w:r>
      <w:r w:rsidR="00D04C95">
        <w:rPr>
          <w:spacing w:val="-4"/>
        </w:rPr>
        <w:t xml:space="preserve"> (</w:t>
      </w:r>
      <w:r w:rsidRPr="00D04C95" w:rsidR="00D04C95">
        <w:rPr>
          <w:i/>
          <w:spacing w:val="-4"/>
        </w:rPr>
        <w:t>Revision</w:t>
      </w:r>
      <w:r w:rsidRPr="00D04C95" w:rsidR="00D04C95">
        <w:rPr>
          <w:i/>
          <w:spacing w:val="-4"/>
        </w:rPr>
        <w:t xml:space="preserve"> </w:t>
      </w:r>
      <w:r w:rsidRPr="00D04C95" w:rsidR="00D04C95">
        <w:rPr>
          <w:i/>
          <w:spacing w:val="-4"/>
        </w:rPr>
        <w:t>of</w:t>
      </w:r>
      <w:r w:rsidRPr="00D04C95" w:rsidR="00D04C95">
        <w:rPr>
          <w:i/>
          <w:spacing w:val="-4"/>
        </w:rPr>
        <w:t xml:space="preserve"> </w:t>
      </w:r>
      <w:r w:rsidRPr="00D04C95" w:rsidR="00D04C95">
        <w:rPr>
          <w:i/>
          <w:spacing w:val="-4"/>
        </w:rPr>
        <w:t>the</w:t>
      </w:r>
      <w:r w:rsidRPr="00D04C95" w:rsidR="00D04C95">
        <w:rPr>
          <w:i/>
          <w:spacing w:val="-4"/>
        </w:rPr>
        <w:t xml:space="preserve"> UNFCCC </w:t>
      </w:r>
      <w:r w:rsidRPr="00D04C95" w:rsidR="00D04C95">
        <w:rPr>
          <w:i/>
          <w:spacing w:val="-4"/>
        </w:rPr>
        <w:t>reporting</w:t>
      </w:r>
      <w:r w:rsidRPr="00D04C95" w:rsidR="00D04C95">
        <w:rPr>
          <w:i/>
          <w:spacing w:val="-4"/>
        </w:rPr>
        <w:t xml:space="preserve"> </w:t>
      </w:r>
      <w:r w:rsidRPr="00D04C95" w:rsidR="00D04C95">
        <w:rPr>
          <w:i/>
          <w:spacing w:val="-4"/>
        </w:rPr>
        <w:t>guidelines</w:t>
      </w:r>
      <w:r w:rsidRPr="00D04C95" w:rsidR="00D04C95">
        <w:rPr>
          <w:i/>
          <w:spacing w:val="-4"/>
        </w:rPr>
        <w:t xml:space="preserve"> </w:t>
      </w:r>
      <w:r w:rsidRPr="00D04C95" w:rsidR="00D04C95">
        <w:rPr>
          <w:i/>
          <w:spacing w:val="-4"/>
        </w:rPr>
        <w:t>on</w:t>
      </w:r>
      <w:r w:rsidRPr="00D04C95" w:rsidR="00D04C95">
        <w:rPr>
          <w:i/>
          <w:spacing w:val="-4"/>
        </w:rPr>
        <w:t xml:space="preserve"> </w:t>
      </w:r>
      <w:r w:rsidRPr="00D04C95" w:rsidR="00D04C95">
        <w:rPr>
          <w:i/>
          <w:spacing w:val="-4"/>
        </w:rPr>
        <w:t>annual</w:t>
      </w:r>
      <w:r w:rsidRPr="00D04C95" w:rsidR="00D04C95">
        <w:rPr>
          <w:i/>
          <w:spacing w:val="-4"/>
        </w:rPr>
        <w:t xml:space="preserve"> </w:t>
      </w:r>
      <w:r w:rsidRPr="00D04C95" w:rsidR="00D04C95">
        <w:rPr>
          <w:i/>
          <w:spacing w:val="-4"/>
        </w:rPr>
        <w:t>inventories</w:t>
      </w:r>
      <w:r w:rsidRPr="00D04C95" w:rsidR="00D04C95">
        <w:rPr>
          <w:i/>
          <w:spacing w:val="-4"/>
        </w:rPr>
        <w:t xml:space="preserve"> </w:t>
      </w:r>
      <w:r w:rsidRPr="00D04C95" w:rsidR="00D04C95">
        <w:rPr>
          <w:i/>
          <w:spacing w:val="-4"/>
        </w:rPr>
        <w:t>for</w:t>
      </w:r>
      <w:r w:rsidRPr="00D04C95" w:rsidR="00D04C95">
        <w:rPr>
          <w:i/>
          <w:spacing w:val="-4"/>
        </w:rPr>
        <w:t xml:space="preserve"> </w:t>
      </w:r>
      <w:r w:rsidRPr="00D04C95" w:rsidR="00D04C95">
        <w:rPr>
          <w:i/>
          <w:spacing w:val="-4"/>
        </w:rPr>
        <w:t>Parties</w:t>
      </w:r>
      <w:r w:rsidRPr="00D04C95" w:rsidR="00D04C95">
        <w:rPr>
          <w:i/>
          <w:spacing w:val="-4"/>
        </w:rPr>
        <w:t xml:space="preserve"> </w:t>
      </w:r>
      <w:r w:rsidRPr="00D04C95" w:rsidR="00D04C95">
        <w:rPr>
          <w:i/>
          <w:spacing w:val="-4"/>
        </w:rPr>
        <w:t>included</w:t>
      </w:r>
      <w:r w:rsidRPr="00D04C95" w:rsidR="00D04C95">
        <w:rPr>
          <w:i/>
          <w:spacing w:val="-4"/>
        </w:rPr>
        <w:t xml:space="preserve"> </w:t>
      </w:r>
      <w:r w:rsidRPr="00D04C95" w:rsidR="00D04C95">
        <w:rPr>
          <w:i/>
          <w:spacing w:val="-4"/>
        </w:rPr>
        <w:t>in</w:t>
      </w:r>
      <w:r w:rsidRPr="00D04C95" w:rsidR="00D04C95">
        <w:rPr>
          <w:i/>
          <w:spacing w:val="-4"/>
        </w:rPr>
        <w:t xml:space="preserve"> </w:t>
      </w:r>
      <w:r w:rsidRPr="00D04C95" w:rsidR="00D04C95">
        <w:rPr>
          <w:i/>
          <w:spacing w:val="-4"/>
        </w:rPr>
        <w:t>Annex</w:t>
      </w:r>
      <w:r w:rsidRPr="00D04C95" w:rsidR="00D04C95">
        <w:rPr>
          <w:i/>
          <w:spacing w:val="-4"/>
        </w:rPr>
        <w:t xml:space="preserve"> I to </w:t>
      </w:r>
      <w:r w:rsidRPr="00D04C95" w:rsidR="00D04C95">
        <w:rPr>
          <w:i/>
          <w:spacing w:val="-4"/>
        </w:rPr>
        <w:t>the</w:t>
      </w:r>
      <w:r w:rsidRPr="00D04C95" w:rsidR="00D04C95">
        <w:rPr>
          <w:i/>
          <w:spacing w:val="-4"/>
        </w:rPr>
        <w:t xml:space="preserve"> </w:t>
      </w:r>
      <w:r w:rsidRPr="00D04C95" w:rsidR="00D04C95">
        <w:rPr>
          <w:i/>
          <w:spacing w:val="-4"/>
        </w:rPr>
        <w:t>Conventio</w:t>
      </w:r>
      <w:r>
        <w:rPr>
          <w:spacing w:val="-4"/>
        </w:rPr>
        <w:t>n</w:t>
      </w:r>
      <w:r>
        <w:rPr>
          <w:spacing w:val="-4"/>
        </w:rPr>
        <w:t>)</w:t>
      </w:r>
      <w:r>
        <w:rPr>
          <w:rStyle w:val="FootnoteReference"/>
          <w:spacing w:val="-4"/>
        </w:rPr>
        <w:footnoteReference w:id="5"/>
      </w:r>
      <w:r w:rsidR="00521087">
        <w:rPr>
          <w:spacing w:val="-4"/>
        </w:rPr>
        <w:t>.</w:t>
      </w:r>
    </w:p>
    <w:p w:rsidR="00D04C95" w:rsidRPr="00D04C95" w:rsidP="007E6A0A" w14:paraId="73F716AA" w14:textId="011B6079">
      <w:pPr>
        <w:pStyle w:val="ListParagraph"/>
        <w:numPr>
          <w:ilvl w:val="1"/>
          <w:numId w:val="2"/>
        </w:numPr>
        <w:ind w:left="425" w:hanging="425"/>
        <w:jc w:val="both"/>
        <w:rPr>
          <w:lang w:val="cs-CZ"/>
        </w:rPr>
      </w:pPr>
      <w:r>
        <w:rPr>
          <w:lang w:val="cs-CZ"/>
        </w:rPr>
        <w:t> </w:t>
      </w:r>
      <w:r w:rsidRPr="00D04C95">
        <w:rPr>
          <w:lang w:val="cs-CZ"/>
        </w:rPr>
        <w:t>Konve</w:t>
      </w:r>
      <w:r w:rsidR="00574A82">
        <w:rPr>
          <w:lang w:val="cs-CZ"/>
        </w:rPr>
        <w:t xml:space="preserve">ncijas Līgumslēdzēju pušu </w:t>
      </w:r>
      <w:r w:rsidR="005F62C2">
        <w:rPr>
          <w:lang w:val="cs-CZ"/>
        </w:rPr>
        <w:t xml:space="preserve">sanāksmes </w:t>
      </w:r>
      <w:r>
        <w:rPr>
          <w:lang w:val="cs-CZ"/>
        </w:rPr>
        <w:t xml:space="preserve">19. sesijas, kas </w:t>
      </w:r>
      <w:r>
        <w:rPr>
          <w:spacing w:val="-4"/>
        </w:rPr>
        <w:t>notika 2013. gada 11-23. novembrī Varšavā,</w:t>
      </w:r>
      <w:r w:rsidR="005F62C2">
        <w:rPr>
          <w:spacing w:val="-4"/>
        </w:rPr>
        <w:t xml:space="preserve"> </w:t>
      </w:r>
      <w:r w:rsidR="00574A82">
        <w:rPr>
          <w:lang w:val="cs-CZ"/>
        </w:rPr>
        <w:t>lēmum</w:t>
      </w:r>
      <w:r w:rsidRPr="00D04C95">
        <w:rPr>
          <w:lang w:val="cs-CZ"/>
        </w:rPr>
        <w:t>s</w:t>
      </w:r>
      <w:r>
        <w:rPr>
          <w:lang w:val="cs-CZ"/>
        </w:rPr>
        <w:t xml:space="preserve"> </w:t>
      </w:r>
      <w:r w:rsidRPr="005254BF">
        <w:rPr>
          <w:spacing w:val="-4"/>
        </w:rPr>
        <w:t>6/CMP.9</w:t>
      </w:r>
      <w:r>
        <w:rPr>
          <w:lang w:val="cs-CZ"/>
        </w:rPr>
        <w:t xml:space="preserve"> (</w:t>
      </w:r>
      <w:r w:rsidRPr="00D04C95">
        <w:rPr>
          <w:i/>
        </w:rPr>
        <w:t>Guidance</w:t>
      </w:r>
      <w:r w:rsidRPr="00D04C95">
        <w:rPr>
          <w:i/>
        </w:rPr>
        <w:t xml:space="preserve"> </w:t>
      </w:r>
      <w:r w:rsidRPr="00D04C95">
        <w:rPr>
          <w:i/>
        </w:rPr>
        <w:t>for</w:t>
      </w:r>
      <w:r w:rsidRPr="00D04C95">
        <w:rPr>
          <w:i/>
        </w:rPr>
        <w:t xml:space="preserve"> </w:t>
      </w:r>
      <w:r w:rsidRPr="00D04C95">
        <w:rPr>
          <w:i/>
        </w:rPr>
        <w:t>reporting</w:t>
      </w:r>
      <w:r w:rsidRPr="00D04C95">
        <w:rPr>
          <w:i/>
        </w:rPr>
        <w:t xml:space="preserve"> </w:t>
      </w:r>
      <w:r w:rsidRPr="00D04C95">
        <w:rPr>
          <w:i/>
        </w:rPr>
        <w:t>information</w:t>
      </w:r>
      <w:r w:rsidRPr="00D04C95">
        <w:rPr>
          <w:i/>
        </w:rPr>
        <w:t xml:space="preserve"> </w:t>
      </w:r>
      <w:r w:rsidRPr="00D04C95">
        <w:rPr>
          <w:i/>
        </w:rPr>
        <w:t>on</w:t>
      </w:r>
      <w:r w:rsidRPr="00D04C95">
        <w:rPr>
          <w:i/>
        </w:rPr>
        <w:t xml:space="preserve"> </w:t>
      </w:r>
      <w:r w:rsidRPr="00D04C95">
        <w:rPr>
          <w:i/>
        </w:rPr>
        <w:t>activities</w:t>
      </w:r>
      <w:r w:rsidRPr="00D04C95">
        <w:rPr>
          <w:i/>
        </w:rPr>
        <w:t xml:space="preserve"> </w:t>
      </w:r>
      <w:r w:rsidRPr="00D04C95">
        <w:rPr>
          <w:i/>
        </w:rPr>
        <w:t>under</w:t>
      </w:r>
      <w:r w:rsidRPr="00D04C95">
        <w:rPr>
          <w:i/>
        </w:rPr>
        <w:t xml:space="preserve"> </w:t>
      </w:r>
      <w:r w:rsidRPr="00D04C95">
        <w:rPr>
          <w:i/>
        </w:rPr>
        <w:t>Article</w:t>
      </w:r>
      <w:r w:rsidRPr="00D04C95">
        <w:rPr>
          <w:i/>
        </w:rPr>
        <w:t xml:space="preserve"> 3, </w:t>
      </w:r>
      <w:r w:rsidRPr="00D04C95">
        <w:rPr>
          <w:i/>
        </w:rPr>
        <w:t>paragraphs</w:t>
      </w:r>
      <w:r w:rsidRPr="00D04C95">
        <w:rPr>
          <w:i/>
        </w:rPr>
        <w:t xml:space="preserve"> 3 </w:t>
      </w:r>
      <w:r w:rsidRPr="00D04C95">
        <w:rPr>
          <w:i/>
        </w:rPr>
        <w:t>and</w:t>
      </w:r>
      <w:r w:rsidRPr="00D04C95">
        <w:rPr>
          <w:i/>
        </w:rPr>
        <w:t xml:space="preserve"> 4, </w:t>
      </w:r>
      <w:r w:rsidRPr="00D04C95">
        <w:rPr>
          <w:i/>
        </w:rPr>
        <w:t>of</w:t>
      </w:r>
      <w:r w:rsidRPr="00D04C95">
        <w:rPr>
          <w:i/>
        </w:rPr>
        <w:t xml:space="preserve"> </w:t>
      </w:r>
      <w:r w:rsidRPr="00D04C95">
        <w:rPr>
          <w:i/>
        </w:rPr>
        <w:t>the</w:t>
      </w:r>
      <w:r w:rsidRPr="00D04C95">
        <w:rPr>
          <w:i/>
        </w:rPr>
        <w:t xml:space="preserve"> </w:t>
      </w:r>
      <w:r w:rsidRPr="00D04C95">
        <w:rPr>
          <w:i/>
        </w:rPr>
        <w:t>Kyoto</w:t>
      </w:r>
      <w:r w:rsidRPr="00D04C95">
        <w:rPr>
          <w:i/>
        </w:rPr>
        <w:t xml:space="preserve"> </w:t>
      </w:r>
      <w:r w:rsidRPr="00D04C95">
        <w:rPr>
          <w:i/>
        </w:rPr>
        <w:t>Protocol</w:t>
      </w:r>
      <w:r>
        <w:t>)</w:t>
      </w:r>
      <w:r>
        <w:rPr>
          <w:rStyle w:val="FootnoteReference"/>
        </w:rPr>
        <w:footnoteReference w:id="6"/>
      </w:r>
      <w:r w:rsidR="00521087">
        <w:t>.</w:t>
      </w:r>
    </w:p>
    <w:p w:rsidR="00D04C95" w:rsidRPr="0026394C" w:rsidP="007E6A0A" w14:paraId="1CC515AE" w14:textId="1D4EEAC0">
      <w:pPr>
        <w:pStyle w:val="ListParagraph"/>
        <w:numPr>
          <w:ilvl w:val="1"/>
          <w:numId w:val="2"/>
        </w:numPr>
        <w:ind w:left="425" w:hanging="425"/>
        <w:jc w:val="both"/>
        <w:rPr>
          <w:lang w:val="cs-CZ"/>
        </w:rPr>
      </w:pPr>
      <w:r>
        <w:rPr>
          <w:lang w:val="cs-CZ"/>
        </w:rPr>
        <w:t> </w:t>
      </w:r>
      <w:r w:rsidRPr="00D04C95" w:rsidR="0026394C">
        <w:rPr>
          <w:lang w:val="cs-CZ"/>
        </w:rPr>
        <w:t>Konve</w:t>
      </w:r>
      <w:r w:rsidR="00574A82">
        <w:rPr>
          <w:lang w:val="cs-CZ"/>
        </w:rPr>
        <w:t xml:space="preserve">ncijas Līgumslēdzēju pušu </w:t>
      </w:r>
      <w:r>
        <w:rPr>
          <w:lang w:val="cs-CZ"/>
        </w:rPr>
        <w:t xml:space="preserve">pirmās Kioto protokola sesijas sanāksmes, kas notika 2005. gadā no 28. novembra līdz 10. decembrim Monreālā, </w:t>
      </w:r>
      <w:r w:rsidR="00574A82">
        <w:rPr>
          <w:lang w:val="cs-CZ"/>
        </w:rPr>
        <w:t>lēmum</w:t>
      </w:r>
      <w:r w:rsidRPr="00D04C95" w:rsidR="0026394C">
        <w:rPr>
          <w:lang w:val="cs-CZ"/>
        </w:rPr>
        <w:t>s</w:t>
      </w:r>
      <w:r w:rsidR="0026394C">
        <w:rPr>
          <w:lang w:val="cs-CZ"/>
        </w:rPr>
        <w:t xml:space="preserve"> </w:t>
      </w:r>
      <w:r w:rsidR="0026394C">
        <w:t>15/CMP.1 (</w:t>
      </w:r>
      <w:r w:rsidRPr="00644DED" w:rsidR="0026394C">
        <w:rPr>
          <w:i/>
        </w:rPr>
        <w:t>Guidelines</w:t>
      </w:r>
      <w:r w:rsidRPr="00644DED" w:rsidR="0026394C">
        <w:rPr>
          <w:i/>
        </w:rPr>
        <w:t xml:space="preserve"> </w:t>
      </w:r>
      <w:r w:rsidRPr="00644DED" w:rsidR="0026394C">
        <w:rPr>
          <w:i/>
        </w:rPr>
        <w:t>for</w:t>
      </w:r>
      <w:r w:rsidRPr="00644DED" w:rsidR="0026394C">
        <w:rPr>
          <w:i/>
        </w:rPr>
        <w:t xml:space="preserve"> </w:t>
      </w:r>
      <w:r w:rsidRPr="00644DED" w:rsidR="0026394C">
        <w:rPr>
          <w:i/>
        </w:rPr>
        <w:t>the</w:t>
      </w:r>
      <w:r w:rsidRPr="00644DED" w:rsidR="0026394C">
        <w:rPr>
          <w:i/>
        </w:rPr>
        <w:t xml:space="preserve"> </w:t>
      </w:r>
      <w:r w:rsidRPr="00644DED" w:rsidR="0026394C">
        <w:rPr>
          <w:i/>
        </w:rPr>
        <w:t>preparation</w:t>
      </w:r>
      <w:r w:rsidRPr="00644DED" w:rsidR="0026394C">
        <w:rPr>
          <w:i/>
        </w:rPr>
        <w:t xml:space="preserve"> </w:t>
      </w:r>
      <w:r w:rsidRPr="00644DED" w:rsidR="0026394C">
        <w:rPr>
          <w:i/>
        </w:rPr>
        <w:t>of</w:t>
      </w:r>
      <w:r w:rsidRPr="00644DED" w:rsidR="0026394C">
        <w:rPr>
          <w:i/>
        </w:rPr>
        <w:t xml:space="preserve"> </w:t>
      </w:r>
      <w:r w:rsidRPr="00644DED" w:rsidR="0026394C">
        <w:rPr>
          <w:i/>
        </w:rPr>
        <w:t>the</w:t>
      </w:r>
      <w:r w:rsidRPr="00644DED" w:rsidR="0026394C">
        <w:rPr>
          <w:i/>
        </w:rPr>
        <w:t xml:space="preserve"> </w:t>
      </w:r>
      <w:r w:rsidRPr="00644DED" w:rsidR="0026394C">
        <w:rPr>
          <w:i/>
        </w:rPr>
        <w:t>information</w:t>
      </w:r>
      <w:r w:rsidRPr="00644DED" w:rsidR="0026394C">
        <w:rPr>
          <w:i/>
        </w:rPr>
        <w:t xml:space="preserve"> </w:t>
      </w:r>
      <w:r w:rsidRPr="00644DED" w:rsidR="0026394C">
        <w:rPr>
          <w:i/>
        </w:rPr>
        <w:t>required</w:t>
      </w:r>
      <w:r w:rsidRPr="00644DED" w:rsidR="0026394C">
        <w:rPr>
          <w:i/>
        </w:rPr>
        <w:t xml:space="preserve"> </w:t>
      </w:r>
      <w:r w:rsidRPr="00644DED" w:rsidR="0026394C">
        <w:rPr>
          <w:i/>
        </w:rPr>
        <w:t>under</w:t>
      </w:r>
      <w:r w:rsidRPr="00644DED" w:rsidR="0026394C">
        <w:rPr>
          <w:i/>
        </w:rPr>
        <w:t xml:space="preserve"> </w:t>
      </w:r>
      <w:r w:rsidRPr="00644DED" w:rsidR="0026394C">
        <w:rPr>
          <w:i/>
        </w:rPr>
        <w:t>Article</w:t>
      </w:r>
      <w:r w:rsidRPr="00644DED" w:rsidR="0026394C">
        <w:rPr>
          <w:i/>
        </w:rPr>
        <w:t xml:space="preserve"> 7 </w:t>
      </w:r>
      <w:r w:rsidRPr="00644DED" w:rsidR="0026394C">
        <w:rPr>
          <w:i/>
        </w:rPr>
        <w:t>of</w:t>
      </w:r>
      <w:r w:rsidRPr="00644DED" w:rsidR="0026394C">
        <w:rPr>
          <w:i/>
        </w:rPr>
        <w:t xml:space="preserve"> </w:t>
      </w:r>
      <w:r w:rsidRPr="00644DED" w:rsidR="0026394C">
        <w:rPr>
          <w:i/>
        </w:rPr>
        <w:t>the</w:t>
      </w:r>
      <w:r w:rsidRPr="00644DED" w:rsidR="0026394C">
        <w:rPr>
          <w:i/>
        </w:rPr>
        <w:t xml:space="preserve"> </w:t>
      </w:r>
      <w:r w:rsidRPr="00644DED" w:rsidR="0026394C">
        <w:rPr>
          <w:i/>
        </w:rPr>
        <w:t>Kyoto</w:t>
      </w:r>
      <w:r w:rsidRPr="00644DED" w:rsidR="0026394C">
        <w:rPr>
          <w:i/>
        </w:rPr>
        <w:t xml:space="preserve"> </w:t>
      </w:r>
      <w:r w:rsidRPr="00644DED" w:rsidR="0026394C">
        <w:rPr>
          <w:i/>
        </w:rPr>
        <w:t>Protocol</w:t>
      </w:r>
      <w:r w:rsidR="0026394C">
        <w:t>)</w:t>
      </w:r>
      <w:r>
        <w:rPr>
          <w:rStyle w:val="FootnoteReference"/>
        </w:rPr>
        <w:footnoteReference w:id="7"/>
      </w:r>
      <w:r w:rsidR="00521087">
        <w:t>.</w:t>
      </w:r>
    </w:p>
    <w:p w:rsidR="0026394C" w:rsidRPr="0026394C" w:rsidP="007E6A0A" w14:paraId="5973FA6B" w14:textId="097621F6">
      <w:pPr>
        <w:pStyle w:val="ListParagraph"/>
        <w:numPr>
          <w:ilvl w:val="1"/>
          <w:numId w:val="2"/>
        </w:numPr>
        <w:ind w:left="425" w:hanging="425"/>
        <w:jc w:val="both"/>
        <w:rPr>
          <w:lang w:val="cs-CZ"/>
        </w:rPr>
      </w:pPr>
      <w:r>
        <w:rPr>
          <w:lang w:val="cs-CZ"/>
        </w:rPr>
        <w:t> </w:t>
      </w:r>
      <w:r w:rsidRPr="0026394C">
        <w:rPr>
          <w:lang w:val="cs-CZ"/>
        </w:rPr>
        <w:t>Konve</w:t>
      </w:r>
      <w:r w:rsidR="00574A82">
        <w:rPr>
          <w:lang w:val="cs-CZ"/>
        </w:rPr>
        <w:t xml:space="preserve">ncijas Līgumslēdzēju pušu </w:t>
      </w:r>
      <w:r>
        <w:rPr>
          <w:lang w:val="cs-CZ"/>
        </w:rPr>
        <w:t xml:space="preserve">astotās Kioto protokola sesijas sanāksmes, kas notika 2012. gadā no 26. novembra līdz 8. decembrim Dohā, </w:t>
      </w:r>
      <w:r w:rsidR="00574A82">
        <w:rPr>
          <w:lang w:val="cs-CZ"/>
        </w:rPr>
        <w:t>lēmum</w:t>
      </w:r>
      <w:r w:rsidRPr="0026394C">
        <w:rPr>
          <w:lang w:val="cs-CZ"/>
        </w:rPr>
        <w:t>s</w:t>
      </w:r>
      <w:r>
        <w:rPr>
          <w:lang w:val="cs-CZ"/>
        </w:rPr>
        <w:t xml:space="preserve"> </w:t>
      </w:r>
      <w:r w:rsidRPr="005254BF">
        <w:rPr>
          <w:spacing w:val="-4"/>
        </w:rPr>
        <w:t>2/CMP.8</w:t>
      </w:r>
      <w:r>
        <w:rPr>
          <w:spacing w:val="-4"/>
        </w:rPr>
        <w:t xml:space="preserve"> (</w:t>
      </w:r>
      <w:r w:rsidRPr="0026394C">
        <w:rPr>
          <w:i/>
          <w:spacing w:val="-4"/>
        </w:rPr>
        <w:t>Implications</w:t>
      </w:r>
      <w:r w:rsidRPr="0026394C">
        <w:rPr>
          <w:i/>
          <w:spacing w:val="-4"/>
        </w:rPr>
        <w:t xml:space="preserve"> </w:t>
      </w:r>
      <w:r w:rsidRPr="0026394C">
        <w:rPr>
          <w:i/>
          <w:spacing w:val="-4"/>
        </w:rPr>
        <w:t>of</w:t>
      </w:r>
      <w:r w:rsidRPr="0026394C">
        <w:rPr>
          <w:i/>
          <w:spacing w:val="-4"/>
        </w:rPr>
        <w:t xml:space="preserve"> </w:t>
      </w:r>
      <w:r w:rsidRPr="0026394C">
        <w:rPr>
          <w:i/>
          <w:spacing w:val="-4"/>
        </w:rPr>
        <w:t>the</w:t>
      </w:r>
      <w:r w:rsidRPr="0026394C">
        <w:rPr>
          <w:i/>
          <w:spacing w:val="-4"/>
        </w:rPr>
        <w:t xml:space="preserve"> </w:t>
      </w:r>
      <w:r w:rsidRPr="0026394C">
        <w:rPr>
          <w:i/>
          <w:spacing w:val="-4"/>
        </w:rPr>
        <w:t>implementation</w:t>
      </w:r>
      <w:r w:rsidRPr="0026394C">
        <w:rPr>
          <w:i/>
          <w:spacing w:val="-4"/>
        </w:rPr>
        <w:t xml:space="preserve"> </w:t>
      </w:r>
      <w:r w:rsidRPr="0026394C">
        <w:rPr>
          <w:i/>
          <w:spacing w:val="-4"/>
        </w:rPr>
        <w:t>of</w:t>
      </w:r>
      <w:r w:rsidRPr="0026394C">
        <w:rPr>
          <w:i/>
          <w:spacing w:val="-4"/>
        </w:rPr>
        <w:t xml:space="preserve"> </w:t>
      </w:r>
      <w:r w:rsidRPr="0026394C">
        <w:rPr>
          <w:i/>
          <w:spacing w:val="-4"/>
        </w:rPr>
        <w:t>decisions</w:t>
      </w:r>
      <w:r w:rsidRPr="0026394C">
        <w:rPr>
          <w:i/>
          <w:spacing w:val="-4"/>
        </w:rPr>
        <w:t xml:space="preserve"> 2/CMP.7 to 5/CMP.7 </w:t>
      </w:r>
      <w:r w:rsidRPr="0026394C">
        <w:rPr>
          <w:i/>
          <w:spacing w:val="-4"/>
        </w:rPr>
        <w:t>on</w:t>
      </w:r>
      <w:r w:rsidRPr="0026394C">
        <w:rPr>
          <w:i/>
          <w:spacing w:val="-4"/>
        </w:rPr>
        <w:t xml:space="preserve"> </w:t>
      </w:r>
      <w:r w:rsidRPr="0026394C">
        <w:rPr>
          <w:i/>
          <w:spacing w:val="-4"/>
        </w:rPr>
        <w:t>the</w:t>
      </w:r>
      <w:r w:rsidRPr="0026394C">
        <w:rPr>
          <w:i/>
          <w:spacing w:val="-4"/>
        </w:rPr>
        <w:t xml:space="preserve"> </w:t>
      </w:r>
      <w:r w:rsidRPr="0026394C">
        <w:rPr>
          <w:i/>
          <w:spacing w:val="-4"/>
        </w:rPr>
        <w:t>previous</w:t>
      </w:r>
      <w:r w:rsidRPr="0026394C">
        <w:rPr>
          <w:i/>
          <w:spacing w:val="-4"/>
        </w:rPr>
        <w:t xml:space="preserve"> </w:t>
      </w:r>
      <w:r w:rsidRPr="0026394C">
        <w:rPr>
          <w:i/>
          <w:spacing w:val="-4"/>
        </w:rPr>
        <w:t>decisions</w:t>
      </w:r>
      <w:r w:rsidRPr="0026394C">
        <w:rPr>
          <w:i/>
          <w:spacing w:val="-4"/>
        </w:rPr>
        <w:t xml:space="preserve"> </w:t>
      </w:r>
      <w:r w:rsidRPr="0026394C">
        <w:rPr>
          <w:i/>
          <w:spacing w:val="-4"/>
        </w:rPr>
        <w:t>on</w:t>
      </w:r>
      <w:r w:rsidRPr="0026394C">
        <w:rPr>
          <w:i/>
          <w:spacing w:val="-4"/>
        </w:rPr>
        <w:t xml:space="preserve"> </w:t>
      </w:r>
      <w:r w:rsidRPr="0026394C">
        <w:rPr>
          <w:i/>
          <w:spacing w:val="-4"/>
        </w:rPr>
        <w:t>methodological</w:t>
      </w:r>
      <w:r w:rsidRPr="0026394C">
        <w:rPr>
          <w:i/>
          <w:spacing w:val="-4"/>
        </w:rPr>
        <w:t xml:space="preserve"> </w:t>
      </w:r>
      <w:r w:rsidRPr="0026394C">
        <w:rPr>
          <w:i/>
          <w:spacing w:val="-4"/>
        </w:rPr>
        <w:t>issues</w:t>
      </w:r>
      <w:r w:rsidRPr="0026394C">
        <w:rPr>
          <w:i/>
          <w:spacing w:val="-4"/>
        </w:rPr>
        <w:t xml:space="preserve"> </w:t>
      </w:r>
      <w:r w:rsidRPr="0026394C">
        <w:rPr>
          <w:i/>
          <w:spacing w:val="-4"/>
        </w:rPr>
        <w:t>related</w:t>
      </w:r>
      <w:r w:rsidRPr="0026394C">
        <w:rPr>
          <w:i/>
          <w:spacing w:val="-4"/>
        </w:rPr>
        <w:t xml:space="preserve"> to </w:t>
      </w:r>
      <w:r w:rsidRPr="0026394C">
        <w:rPr>
          <w:i/>
          <w:spacing w:val="-4"/>
        </w:rPr>
        <w:t>the</w:t>
      </w:r>
      <w:r w:rsidRPr="0026394C">
        <w:rPr>
          <w:i/>
          <w:spacing w:val="-4"/>
        </w:rPr>
        <w:t xml:space="preserve"> </w:t>
      </w:r>
      <w:r w:rsidRPr="0026394C">
        <w:rPr>
          <w:i/>
          <w:spacing w:val="-4"/>
        </w:rPr>
        <w:t>Kyoto</w:t>
      </w:r>
      <w:r w:rsidRPr="0026394C">
        <w:rPr>
          <w:i/>
          <w:spacing w:val="-4"/>
        </w:rPr>
        <w:t xml:space="preserve"> </w:t>
      </w:r>
      <w:r w:rsidRPr="0026394C">
        <w:rPr>
          <w:i/>
          <w:spacing w:val="-4"/>
        </w:rPr>
        <w:t>Protocol</w:t>
      </w:r>
      <w:r w:rsidRPr="0026394C">
        <w:rPr>
          <w:i/>
          <w:spacing w:val="-4"/>
        </w:rPr>
        <w:t xml:space="preserve">, </w:t>
      </w:r>
      <w:r w:rsidRPr="0026394C">
        <w:rPr>
          <w:i/>
          <w:spacing w:val="-4"/>
        </w:rPr>
        <w:t>including</w:t>
      </w:r>
      <w:r w:rsidRPr="0026394C">
        <w:rPr>
          <w:i/>
          <w:spacing w:val="-4"/>
        </w:rPr>
        <w:t xml:space="preserve"> </w:t>
      </w:r>
      <w:r w:rsidRPr="0026394C">
        <w:rPr>
          <w:i/>
          <w:spacing w:val="-4"/>
        </w:rPr>
        <w:t>those</w:t>
      </w:r>
      <w:r w:rsidRPr="0026394C">
        <w:rPr>
          <w:i/>
          <w:spacing w:val="-4"/>
        </w:rPr>
        <w:t xml:space="preserve"> </w:t>
      </w:r>
      <w:r w:rsidRPr="0026394C">
        <w:rPr>
          <w:i/>
          <w:spacing w:val="-4"/>
        </w:rPr>
        <w:t>relating</w:t>
      </w:r>
      <w:r w:rsidRPr="0026394C">
        <w:rPr>
          <w:i/>
          <w:spacing w:val="-4"/>
        </w:rPr>
        <w:t xml:space="preserve"> to </w:t>
      </w:r>
      <w:r w:rsidRPr="0026394C">
        <w:rPr>
          <w:i/>
          <w:spacing w:val="-4"/>
        </w:rPr>
        <w:t>Articles</w:t>
      </w:r>
      <w:r w:rsidRPr="0026394C">
        <w:rPr>
          <w:i/>
          <w:spacing w:val="-4"/>
        </w:rPr>
        <w:t xml:space="preserve"> 5, 7 </w:t>
      </w:r>
      <w:r w:rsidRPr="0026394C">
        <w:rPr>
          <w:i/>
          <w:spacing w:val="-4"/>
        </w:rPr>
        <w:t>and</w:t>
      </w:r>
      <w:r w:rsidRPr="0026394C">
        <w:rPr>
          <w:i/>
          <w:spacing w:val="-4"/>
        </w:rPr>
        <w:t xml:space="preserve"> 8 </w:t>
      </w:r>
      <w:r w:rsidRPr="0026394C">
        <w:rPr>
          <w:i/>
          <w:spacing w:val="-4"/>
        </w:rPr>
        <w:t>of</w:t>
      </w:r>
      <w:r w:rsidRPr="0026394C">
        <w:rPr>
          <w:i/>
          <w:spacing w:val="-4"/>
        </w:rPr>
        <w:t xml:space="preserve"> </w:t>
      </w:r>
      <w:r w:rsidRPr="0026394C">
        <w:rPr>
          <w:i/>
          <w:spacing w:val="-4"/>
        </w:rPr>
        <w:t>the</w:t>
      </w:r>
      <w:r w:rsidRPr="0026394C">
        <w:rPr>
          <w:i/>
          <w:spacing w:val="-4"/>
        </w:rPr>
        <w:t xml:space="preserve"> </w:t>
      </w:r>
      <w:r w:rsidRPr="0026394C">
        <w:rPr>
          <w:i/>
          <w:spacing w:val="-4"/>
        </w:rPr>
        <w:t>Kyoto</w:t>
      </w:r>
      <w:r w:rsidRPr="0026394C">
        <w:rPr>
          <w:i/>
          <w:spacing w:val="-4"/>
        </w:rPr>
        <w:t xml:space="preserve"> </w:t>
      </w:r>
      <w:r w:rsidRPr="0026394C">
        <w:rPr>
          <w:i/>
          <w:spacing w:val="-4"/>
        </w:rPr>
        <w:t>Protocol</w:t>
      </w:r>
      <w:r>
        <w:rPr>
          <w:spacing w:val="-4"/>
        </w:rPr>
        <w:t>)</w:t>
      </w:r>
      <w:r>
        <w:rPr>
          <w:rStyle w:val="FootnoteReference"/>
          <w:spacing w:val="-4"/>
        </w:rPr>
        <w:footnoteReference w:id="8"/>
      </w:r>
      <w:r w:rsidR="00521087">
        <w:rPr>
          <w:spacing w:val="-4"/>
        </w:rPr>
        <w:t>.</w:t>
      </w:r>
    </w:p>
    <w:p w:rsidR="0026394C" w:rsidP="007E6A0A" w14:paraId="6EAEEC91" w14:textId="7B9A550C">
      <w:pPr>
        <w:pStyle w:val="ListParagraph"/>
        <w:numPr>
          <w:ilvl w:val="1"/>
          <w:numId w:val="2"/>
        </w:numPr>
        <w:ind w:left="425" w:hanging="425"/>
        <w:jc w:val="both"/>
        <w:rPr>
          <w:lang w:val="cs-CZ"/>
        </w:rPr>
      </w:pPr>
      <w:r>
        <w:rPr>
          <w:lang w:val="cs-CZ"/>
        </w:rPr>
        <w:t> </w:t>
      </w:r>
      <w:r w:rsidRPr="0026394C">
        <w:rPr>
          <w:lang w:val="cs-CZ"/>
        </w:rPr>
        <w:t>Konve</w:t>
      </w:r>
      <w:r w:rsidR="00574A82">
        <w:rPr>
          <w:lang w:val="cs-CZ"/>
        </w:rPr>
        <w:t xml:space="preserve">ncijas Līgumslēdzēju pušu </w:t>
      </w:r>
      <w:r>
        <w:rPr>
          <w:lang w:val="cs-CZ"/>
        </w:rPr>
        <w:t xml:space="preserve">pirmās Kioto protokola sesijas sanāksmes, kas notika 2005. gadā no 28. novembra līdz 10. decembrim Monreālā, </w:t>
      </w:r>
      <w:r w:rsidR="00574A82">
        <w:rPr>
          <w:lang w:val="cs-CZ"/>
        </w:rPr>
        <w:t>lēmum</w:t>
      </w:r>
      <w:r w:rsidRPr="0026394C">
        <w:rPr>
          <w:lang w:val="cs-CZ"/>
        </w:rPr>
        <w:t>s</w:t>
      </w:r>
      <w:r>
        <w:rPr>
          <w:lang w:val="cs-CZ"/>
        </w:rPr>
        <w:t xml:space="preserve"> </w:t>
      </w:r>
      <w:r w:rsidRPr="005254BF">
        <w:rPr>
          <w:spacing w:val="-4"/>
        </w:rPr>
        <w:t>19/CMP.1</w:t>
      </w:r>
      <w:r>
        <w:rPr>
          <w:lang w:val="cs-CZ"/>
        </w:rPr>
        <w:t xml:space="preserve"> (</w:t>
      </w:r>
      <w:r w:rsidRPr="00644DED">
        <w:rPr>
          <w:i/>
          <w:lang w:val="cs-CZ"/>
        </w:rPr>
        <w:t>Guidelines for national systems under Article 5, paragraph 1, of the Kyoto Protocol</w:t>
      </w:r>
      <w:r>
        <w:rPr>
          <w:lang w:val="cs-CZ"/>
        </w:rPr>
        <w:t>)</w:t>
      </w:r>
      <w:r>
        <w:rPr>
          <w:rStyle w:val="FootnoteReference"/>
          <w:lang w:val="cs-CZ"/>
        </w:rPr>
        <w:footnoteReference w:id="9"/>
      </w:r>
      <w:r w:rsidR="00521087">
        <w:rPr>
          <w:lang w:val="cs-CZ"/>
        </w:rPr>
        <w:t>.</w:t>
      </w:r>
    </w:p>
    <w:p w:rsidR="00574A82" w:rsidRPr="00F20749" w:rsidP="007E6A0A" w14:paraId="0048FA46" w14:textId="6EC2194C">
      <w:pPr>
        <w:pStyle w:val="ListParagraph"/>
        <w:numPr>
          <w:ilvl w:val="1"/>
          <w:numId w:val="2"/>
        </w:numPr>
        <w:ind w:left="425" w:hanging="425"/>
        <w:jc w:val="both"/>
        <w:rPr>
          <w:lang w:val="cs-CZ"/>
        </w:rPr>
      </w:pPr>
      <w:r>
        <w:t> </w:t>
      </w:r>
      <w:r w:rsidRPr="0026394C">
        <w:rPr>
          <w:lang w:val="cs-CZ"/>
        </w:rPr>
        <w:t>Konve</w:t>
      </w:r>
      <w:r>
        <w:rPr>
          <w:lang w:val="cs-CZ"/>
        </w:rPr>
        <w:t xml:space="preserve">ncijas Līgumslēdzēju pušu </w:t>
      </w:r>
      <w:r w:rsidR="00DF6A3B">
        <w:rPr>
          <w:lang w:val="cs-CZ"/>
        </w:rPr>
        <w:t xml:space="preserve">11. Kioto protokola sesijas sanāksmes, kas notika 2015. gadā no 30. novembra līdz 10. decembrim Parīzē, </w:t>
      </w:r>
      <w:r>
        <w:rPr>
          <w:lang w:val="cs-CZ"/>
        </w:rPr>
        <w:t>lēmum</w:t>
      </w:r>
      <w:r w:rsidRPr="0026394C">
        <w:rPr>
          <w:lang w:val="cs-CZ"/>
        </w:rPr>
        <w:t>s</w:t>
      </w:r>
      <w:r>
        <w:rPr>
          <w:lang w:val="cs-CZ"/>
        </w:rPr>
        <w:t xml:space="preserve"> </w:t>
      </w:r>
      <w:r>
        <w:t>3/CMP.11 (</w:t>
      </w:r>
      <w:r w:rsidRPr="00574A82">
        <w:rPr>
          <w:i/>
        </w:rPr>
        <w:t>Implications</w:t>
      </w:r>
      <w:r w:rsidRPr="00574A82">
        <w:rPr>
          <w:i/>
        </w:rPr>
        <w:t xml:space="preserve"> </w:t>
      </w:r>
      <w:r w:rsidRPr="00574A82">
        <w:rPr>
          <w:i/>
        </w:rPr>
        <w:t>of</w:t>
      </w:r>
      <w:r w:rsidRPr="00574A82">
        <w:rPr>
          <w:i/>
        </w:rPr>
        <w:t xml:space="preserve"> </w:t>
      </w:r>
      <w:r w:rsidRPr="00574A82">
        <w:rPr>
          <w:i/>
        </w:rPr>
        <w:t>the</w:t>
      </w:r>
      <w:r w:rsidRPr="00574A82">
        <w:rPr>
          <w:i/>
        </w:rPr>
        <w:t xml:space="preserve"> </w:t>
      </w:r>
      <w:r w:rsidRPr="00574A82">
        <w:rPr>
          <w:i/>
        </w:rPr>
        <w:t>implementation</w:t>
      </w:r>
      <w:r w:rsidRPr="00574A82">
        <w:rPr>
          <w:i/>
        </w:rPr>
        <w:t xml:space="preserve"> </w:t>
      </w:r>
      <w:r w:rsidRPr="00574A82">
        <w:rPr>
          <w:i/>
        </w:rPr>
        <w:t>of</w:t>
      </w:r>
      <w:r w:rsidRPr="00574A82">
        <w:rPr>
          <w:i/>
        </w:rPr>
        <w:t xml:space="preserve"> </w:t>
      </w:r>
      <w:r w:rsidRPr="00574A82">
        <w:rPr>
          <w:i/>
        </w:rPr>
        <w:t>decisions</w:t>
      </w:r>
      <w:r w:rsidRPr="00574A82">
        <w:rPr>
          <w:i/>
        </w:rPr>
        <w:t xml:space="preserve"> 2/CMP.7 to 4/CMP.7 </w:t>
      </w:r>
      <w:r w:rsidRPr="00574A82">
        <w:rPr>
          <w:i/>
        </w:rPr>
        <w:t>and</w:t>
      </w:r>
      <w:r w:rsidRPr="00574A82">
        <w:rPr>
          <w:i/>
        </w:rPr>
        <w:t xml:space="preserve"> 1/CMP.8 </w:t>
      </w:r>
      <w:r w:rsidRPr="00574A82">
        <w:rPr>
          <w:i/>
        </w:rPr>
        <w:t>on</w:t>
      </w:r>
      <w:r w:rsidRPr="00574A82">
        <w:rPr>
          <w:i/>
        </w:rPr>
        <w:t xml:space="preserve"> </w:t>
      </w:r>
      <w:r w:rsidRPr="00574A82">
        <w:rPr>
          <w:i/>
        </w:rPr>
        <w:t>the</w:t>
      </w:r>
      <w:r w:rsidRPr="00574A82">
        <w:rPr>
          <w:i/>
        </w:rPr>
        <w:t xml:space="preserve"> </w:t>
      </w:r>
      <w:r w:rsidRPr="00574A82">
        <w:rPr>
          <w:i/>
        </w:rPr>
        <w:t>previous</w:t>
      </w:r>
      <w:r w:rsidRPr="00574A82">
        <w:rPr>
          <w:i/>
        </w:rPr>
        <w:t xml:space="preserve"> </w:t>
      </w:r>
      <w:r w:rsidRPr="00574A82">
        <w:rPr>
          <w:i/>
        </w:rPr>
        <w:t>decisions</w:t>
      </w:r>
      <w:r w:rsidRPr="00574A82">
        <w:rPr>
          <w:i/>
        </w:rPr>
        <w:t xml:space="preserve"> </w:t>
      </w:r>
      <w:r w:rsidRPr="00574A82">
        <w:rPr>
          <w:i/>
        </w:rPr>
        <w:t>on</w:t>
      </w:r>
      <w:r w:rsidRPr="00574A82">
        <w:rPr>
          <w:i/>
        </w:rPr>
        <w:t xml:space="preserve"> </w:t>
      </w:r>
      <w:r w:rsidRPr="00574A82">
        <w:rPr>
          <w:i/>
        </w:rPr>
        <w:t>methodological</w:t>
      </w:r>
      <w:r w:rsidRPr="00574A82">
        <w:rPr>
          <w:i/>
        </w:rPr>
        <w:t xml:space="preserve"> </w:t>
      </w:r>
      <w:r w:rsidRPr="00574A82">
        <w:rPr>
          <w:i/>
        </w:rPr>
        <w:t>issues</w:t>
      </w:r>
      <w:r w:rsidRPr="00574A82">
        <w:rPr>
          <w:i/>
        </w:rPr>
        <w:t xml:space="preserve"> </w:t>
      </w:r>
      <w:r w:rsidRPr="00574A82">
        <w:rPr>
          <w:i/>
        </w:rPr>
        <w:t>related</w:t>
      </w:r>
      <w:r w:rsidRPr="00574A82">
        <w:rPr>
          <w:i/>
        </w:rPr>
        <w:t xml:space="preserve"> to </w:t>
      </w:r>
      <w:r w:rsidRPr="00574A82">
        <w:rPr>
          <w:i/>
        </w:rPr>
        <w:t>the</w:t>
      </w:r>
      <w:r w:rsidRPr="00574A82">
        <w:rPr>
          <w:i/>
        </w:rPr>
        <w:t xml:space="preserve"> </w:t>
      </w:r>
      <w:r w:rsidRPr="00574A82">
        <w:rPr>
          <w:i/>
        </w:rPr>
        <w:t>Kyoto</w:t>
      </w:r>
      <w:r w:rsidRPr="00574A82">
        <w:rPr>
          <w:i/>
        </w:rPr>
        <w:t xml:space="preserve"> </w:t>
      </w:r>
      <w:r w:rsidRPr="00574A82">
        <w:rPr>
          <w:i/>
        </w:rPr>
        <w:t>Protocol</w:t>
      </w:r>
      <w:r w:rsidRPr="00574A82">
        <w:rPr>
          <w:i/>
        </w:rPr>
        <w:t xml:space="preserve">, </w:t>
      </w:r>
      <w:r w:rsidRPr="00574A82">
        <w:rPr>
          <w:i/>
        </w:rPr>
        <w:t>including</w:t>
      </w:r>
      <w:r w:rsidRPr="00574A82">
        <w:rPr>
          <w:i/>
        </w:rPr>
        <w:t xml:space="preserve"> </w:t>
      </w:r>
      <w:r w:rsidRPr="00574A82">
        <w:rPr>
          <w:i/>
        </w:rPr>
        <w:t>those</w:t>
      </w:r>
      <w:r w:rsidRPr="00574A82">
        <w:rPr>
          <w:i/>
        </w:rPr>
        <w:t xml:space="preserve"> </w:t>
      </w:r>
      <w:r w:rsidRPr="00574A82">
        <w:rPr>
          <w:i/>
        </w:rPr>
        <w:t>relating</w:t>
      </w:r>
      <w:r w:rsidRPr="00574A82">
        <w:rPr>
          <w:i/>
        </w:rPr>
        <w:t xml:space="preserve"> to </w:t>
      </w:r>
      <w:r w:rsidRPr="00574A82">
        <w:rPr>
          <w:i/>
        </w:rPr>
        <w:t>Articles</w:t>
      </w:r>
      <w:r w:rsidRPr="00574A82">
        <w:rPr>
          <w:i/>
        </w:rPr>
        <w:t xml:space="preserve"> 5, 7 </w:t>
      </w:r>
      <w:r w:rsidRPr="00574A82">
        <w:rPr>
          <w:i/>
        </w:rPr>
        <w:t>and</w:t>
      </w:r>
      <w:r w:rsidRPr="00574A82">
        <w:rPr>
          <w:i/>
        </w:rPr>
        <w:t xml:space="preserve"> 8 </w:t>
      </w:r>
      <w:r w:rsidRPr="00574A82">
        <w:rPr>
          <w:i/>
        </w:rPr>
        <w:t>of</w:t>
      </w:r>
      <w:r w:rsidRPr="00574A82">
        <w:rPr>
          <w:i/>
        </w:rPr>
        <w:t xml:space="preserve"> </w:t>
      </w:r>
      <w:r w:rsidRPr="00574A82">
        <w:rPr>
          <w:i/>
        </w:rPr>
        <w:t>the</w:t>
      </w:r>
      <w:r w:rsidRPr="00574A82">
        <w:rPr>
          <w:i/>
        </w:rPr>
        <w:t xml:space="preserve"> </w:t>
      </w:r>
      <w:r w:rsidRPr="00574A82">
        <w:rPr>
          <w:i/>
        </w:rPr>
        <w:t>Kyoto</w:t>
      </w:r>
      <w:r w:rsidRPr="00574A82">
        <w:rPr>
          <w:i/>
        </w:rPr>
        <w:t xml:space="preserve"> </w:t>
      </w:r>
      <w:r w:rsidRPr="00574A82">
        <w:rPr>
          <w:i/>
        </w:rPr>
        <w:t>Protocol</w:t>
      </w:r>
      <w:r w:rsidRPr="00574A82">
        <w:rPr>
          <w:i/>
        </w:rPr>
        <w:t xml:space="preserve">, </w:t>
      </w:r>
      <w:r w:rsidRPr="00574A82">
        <w:rPr>
          <w:i/>
        </w:rPr>
        <w:t>part</w:t>
      </w:r>
      <w:r w:rsidRPr="00574A82">
        <w:rPr>
          <w:i/>
        </w:rPr>
        <w:t xml:space="preserve"> I: </w:t>
      </w:r>
      <w:r w:rsidRPr="00574A82">
        <w:rPr>
          <w:i/>
        </w:rPr>
        <w:t>implications</w:t>
      </w:r>
      <w:r w:rsidRPr="00574A82">
        <w:rPr>
          <w:i/>
        </w:rPr>
        <w:t xml:space="preserve"> </w:t>
      </w:r>
      <w:r w:rsidRPr="00574A82">
        <w:rPr>
          <w:i/>
        </w:rPr>
        <w:t>related</w:t>
      </w:r>
      <w:r w:rsidRPr="00574A82">
        <w:rPr>
          <w:i/>
        </w:rPr>
        <w:t xml:space="preserve"> to </w:t>
      </w:r>
      <w:r w:rsidRPr="00574A82">
        <w:rPr>
          <w:i/>
        </w:rPr>
        <w:t>accounting</w:t>
      </w:r>
      <w:r w:rsidRPr="00574A82">
        <w:rPr>
          <w:i/>
        </w:rPr>
        <w:t xml:space="preserve"> </w:t>
      </w:r>
      <w:r w:rsidRPr="00574A82">
        <w:rPr>
          <w:i/>
        </w:rPr>
        <w:t>and</w:t>
      </w:r>
      <w:r w:rsidRPr="00574A82">
        <w:rPr>
          <w:i/>
        </w:rPr>
        <w:t xml:space="preserve"> </w:t>
      </w:r>
      <w:r w:rsidRPr="00574A82">
        <w:rPr>
          <w:i/>
        </w:rPr>
        <w:t>reporting</w:t>
      </w:r>
      <w:r w:rsidRPr="00574A82">
        <w:rPr>
          <w:i/>
        </w:rPr>
        <w:t xml:space="preserve"> </w:t>
      </w:r>
      <w:r w:rsidRPr="00574A82">
        <w:rPr>
          <w:i/>
        </w:rPr>
        <w:t>and</w:t>
      </w:r>
      <w:r w:rsidRPr="00574A82">
        <w:rPr>
          <w:i/>
        </w:rPr>
        <w:t xml:space="preserve"> </w:t>
      </w:r>
      <w:r w:rsidRPr="00574A82">
        <w:rPr>
          <w:i/>
        </w:rPr>
        <w:t>other</w:t>
      </w:r>
      <w:r w:rsidRPr="00574A82">
        <w:rPr>
          <w:i/>
        </w:rPr>
        <w:t xml:space="preserve"> </w:t>
      </w:r>
      <w:r w:rsidRPr="00574A82">
        <w:rPr>
          <w:i/>
        </w:rPr>
        <w:t>related</w:t>
      </w:r>
      <w:r w:rsidRPr="00574A82">
        <w:rPr>
          <w:i/>
        </w:rPr>
        <w:t xml:space="preserve"> </w:t>
      </w:r>
      <w:r w:rsidRPr="00574A82">
        <w:rPr>
          <w:i/>
        </w:rPr>
        <w:t>issues</w:t>
      </w:r>
      <w:r>
        <w:t>)</w:t>
      </w:r>
      <w:r>
        <w:rPr>
          <w:rStyle w:val="FootnoteReference"/>
        </w:rPr>
        <w:footnoteReference w:id="10"/>
      </w:r>
      <w:r w:rsidR="00521087">
        <w:t>.</w:t>
      </w:r>
    </w:p>
    <w:p w:rsidR="00574A82" w:rsidRPr="00F20749" w:rsidP="007E6A0A" w14:paraId="339AA364" w14:textId="38DB9D08">
      <w:pPr>
        <w:pStyle w:val="ListParagraph"/>
        <w:numPr>
          <w:ilvl w:val="1"/>
          <w:numId w:val="2"/>
        </w:numPr>
        <w:ind w:left="425" w:hanging="425"/>
        <w:jc w:val="both"/>
        <w:rPr>
          <w:lang w:val="cs-CZ"/>
        </w:rPr>
      </w:pPr>
      <w:r w:rsidRPr="00F20749">
        <w:rPr>
          <w:lang w:val="cs-CZ"/>
        </w:rPr>
        <w:t xml:space="preserve">Konvencijas Līgumslēdzēju pušu </w:t>
      </w:r>
      <w:r w:rsidR="00DF6A3B">
        <w:rPr>
          <w:lang w:val="cs-CZ"/>
        </w:rPr>
        <w:t xml:space="preserve">sanāksmes 16. sesijas, kas notika 2010. gadā no 29. novembra līdz 10. decembrim Kankūnā, </w:t>
      </w:r>
      <w:r w:rsidRPr="00F20749">
        <w:rPr>
          <w:lang w:val="cs-CZ"/>
        </w:rPr>
        <w:t xml:space="preserve">lēmums </w:t>
      </w:r>
      <w:r>
        <w:t>1/CP.16 (</w:t>
      </w:r>
      <w:r w:rsidRPr="00F20749">
        <w:rPr>
          <w:i/>
        </w:rPr>
        <w:t>The</w:t>
      </w:r>
      <w:r w:rsidRPr="00F20749">
        <w:rPr>
          <w:i/>
        </w:rPr>
        <w:t xml:space="preserve"> </w:t>
      </w:r>
      <w:r w:rsidRPr="00F20749">
        <w:rPr>
          <w:i/>
        </w:rPr>
        <w:t>Cancun</w:t>
      </w:r>
      <w:r w:rsidRPr="00F20749">
        <w:rPr>
          <w:i/>
        </w:rPr>
        <w:t xml:space="preserve"> </w:t>
      </w:r>
      <w:r w:rsidRPr="00F20749">
        <w:rPr>
          <w:i/>
        </w:rPr>
        <w:t>Agreements</w:t>
      </w:r>
      <w:r w:rsidRPr="00F20749">
        <w:rPr>
          <w:i/>
        </w:rPr>
        <w:t xml:space="preserve">: </w:t>
      </w:r>
      <w:r w:rsidRPr="00F20749">
        <w:rPr>
          <w:i/>
        </w:rPr>
        <w:t>Outcome</w:t>
      </w:r>
      <w:r w:rsidRPr="00F20749">
        <w:rPr>
          <w:i/>
        </w:rPr>
        <w:t xml:space="preserve"> </w:t>
      </w:r>
      <w:r w:rsidRPr="00F20749">
        <w:rPr>
          <w:i/>
        </w:rPr>
        <w:t>of</w:t>
      </w:r>
      <w:r w:rsidRPr="00F20749">
        <w:rPr>
          <w:i/>
        </w:rPr>
        <w:t xml:space="preserve"> </w:t>
      </w:r>
      <w:r w:rsidRPr="00F20749">
        <w:rPr>
          <w:i/>
        </w:rPr>
        <w:t>the</w:t>
      </w:r>
      <w:r w:rsidRPr="00F20749">
        <w:rPr>
          <w:i/>
        </w:rPr>
        <w:t xml:space="preserve"> </w:t>
      </w:r>
      <w:r w:rsidRPr="00F20749">
        <w:rPr>
          <w:i/>
        </w:rPr>
        <w:t>work</w:t>
      </w:r>
      <w:r w:rsidRPr="00F20749">
        <w:rPr>
          <w:i/>
        </w:rPr>
        <w:t xml:space="preserve"> </w:t>
      </w:r>
      <w:r w:rsidRPr="00F20749">
        <w:rPr>
          <w:i/>
        </w:rPr>
        <w:t>of</w:t>
      </w:r>
      <w:r w:rsidRPr="00F20749">
        <w:rPr>
          <w:i/>
        </w:rPr>
        <w:t xml:space="preserve"> </w:t>
      </w:r>
      <w:r w:rsidRPr="00F20749">
        <w:rPr>
          <w:i/>
        </w:rPr>
        <w:t>the</w:t>
      </w:r>
      <w:r w:rsidRPr="00F20749">
        <w:rPr>
          <w:i/>
        </w:rPr>
        <w:t xml:space="preserve"> </w:t>
      </w:r>
      <w:r w:rsidRPr="00F20749">
        <w:rPr>
          <w:i/>
        </w:rPr>
        <w:t>Ad</w:t>
      </w:r>
      <w:r w:rsidRPr="00F20749">
        <w:rPr>
          <w:i/>
        </w:rPr>
        <w:t xml:space="preserve"> </w:t>
      </w:r>
      <w:r w:rsidRPr="00F20749">
        <w:rPr>
          <w:i/>
        </w:rPr>
        <w:t>Hoc</w:t>
      </w:r>
      <w:r w:rsidRPr="00F20749">
        <w:rPr>
          <w:i/>
        </w:rPr>
        <w:t xml:space="preserve"> </w:t>
      </w:r>
      <w:r w:rsidRPr="00F20749">
        <w:rPr>
          <w:i/>
        </w:rPr>
        <w:t>Working</w:t>
      </w:r>
      <w:r w:rsidRPr="00F20749">
        <w:rPr>
          <w:i/>
        </w:rPr>
        <w:t xml:space="preserve"> </w:t>
      </w:r>
      <w:r w:rsidRPr="00F20749">
        <w:rPr>
          <w:i/>
        </w:rPr>
        <w:t>Group</w:t>
      </w:r>
      <w:r w:rsidRPr="00F20749">
        <w:rPr>
          <w:i/>
        </w:rPr>
        <w:t xml:space="preserve"> </w:t>
      </w:r>
      <w:r w:rsidRPr="00F20749">
        <w:rPr>
          <w:i/>
        </w:rPr>
        <w:t>on</w:t>
      </w:r>
      <w:r w:rsidRPr="00F20749">
        <w:rPr>
          <w:i/>
        </w:rPr>
        <w:t xml:space="preserve"> </w:t>
      </w:r>
      <w:r w:rsidRPr="00F20749">
        <w:rPr>
          <w:i/>
        </w:rPr>
        <w:t>Long</w:t>
      </w:r>
      <w:r w:rsidRPr="00F20749">
        <w:rPr>
          <w:i/>
        </w:rPr>
        <w:t xml:space="preserve">-term </w:t>
      </w:r>
      <w:r w:rsidRPr="00F20749">
        <w:rPr>
          <w:i/>
        </w:rPr>
        <w:t>Cooperative</w:t>
      </w:r>
      <w:r w:rsidRPr="00F20749">
        <w:rPr>
          <w:i/>
        </w:rPr>
        <w:t xml:space="preserve"> </w:t>
      </w:r>
      <w:r w:rsidRPr="00F20749">
        <w:rPr>
          <w:i/>
        </w:rPr>
        <w:t>Action</w:t>
      </w:r>
      <w:r w:rsidRPr="00F20749">
        <w:rPr>
          <w:i/>
        </w:rPr>
        <w:t xml:space="preserve"> </w:t>
      </w:r>
      <w:r w:rsidRPr="00F20749">
        <w:rPr>
          <w:i/>
        </w:rPr>
        <w:t>under</w:t>
      </w:r>
      <w:r w:rsidRPr="00F20749">
        <w:rPr>
          <w:i/>
        </w:rPr>
        <w:t xml:space="preserve"> </w:t>
      </w:r>
      <w:r w:rsidRPr="00F20749">
        <w:rPr>
          <w:i/>
        </w:rPr>
        <w:t>the</w:t>
      </w:r>
      <w:r w:rsidRPr="00F20749">
        <w:rPr>
          <w:i/>
        </w:rPr>
        <w:t xml:space="preserve"> </w:t>
      </w:r>
      <w:r w:rsidRPr="00F20749">
        <w:rPr>
          <w:i/>
        </w:rPr>
        <w:t>Convention</w:t>
      </w:r>
      <w:r>
        <w:t>)</w:t>
      </w:r>
      <w:r>
        <w:rPr>
          <w:rStyle w:val="FootnoteReference"/>
        </w:rPr>
        <w:footnoteReference w:id="11"/>
      </w:r>
      <w:r w:rsidR="00521087">
        <w:t>.</w:t>
      </w:r>
    </w:p>
    <w:p w:rsidR="00574A82" w:rsidRPr="000B5BF1" w:rsidP="007E6A0A" w14:paraId="5095FB77" w14:textId="4B041CB5">
      <w:pPr>
        <w:pStyle w:val="ListParagraph"/>
        <w:numPr>
          <w:ilvl w:val="1"/>
          <w:numId w:val="2"/>
        </w:numPr>
        <w:ind w:left="425" w:hanging="425"/>
        <w:jc w:val="both"/>
        <w:rPr>
          <w:color w:val="000000" w:themeColor="text1"/>
        </w:rPr>
      </w:pPr>
      <w:r w:rsidRPr="000B5BF1">
        <w:rPr>
          <w:color w:val="000000" w:themeColor="text1"/>
        </w:rPr>
        <w:t xml:space="preserve">Konvencijas Līgumslēdzēju pušu </w:t>
      </w:r>
      <w:r w:rsidRPr="000B5BF1" w:rsidR="00626E9D">
        <w:rPr>
          <w:color w:val="000000" w:themeColor="text1"/>
        </w:rPr>
        <w:t xml:space="preserve">sanāksmes 17. sesijas, kas notika 2011. gadā no 28. novembra līdz 11. decembrim </w:t>
      </w:r>
      <w:r w:rsidRPr="000B5BF1" w:rsidR="00626E9D">
        <w:rPr>
          <w:color w:val="000000" w:themeColor="text1"/>
        </w:rPr>
        <w:t>Durbānā</w:t>
      </w:r>
      <w:r w:rsidRPr="000B5BF1" w:rsidR="00626E9D">
        <w:rPr>
          <w:color w:val="000000" w:themeColor="text1"/>
        </w:rPr>
        <w:t xml:space="preserve">, </w:t>
      </w:r>
      <w:r w:rsidRPr="000B5BF1">
        <w:rPr>
          <w:color w:val="000000" w:themeColor="text1"/>
        </w:rPr>
        <w:t>lēmums 2/CP.17 (</w:t>
      </w:r>
      <w:r w:rsidRPr="00521087">
        <w:rPr>
          <w:i/>
          <w:iCs/>
          <w:color w:val="000000" w:themeColor="text1"/>
        </w:rPr>
        <w:t>Outcome</w:t>
      </w:r>
      <w:r w:rsidRPr="00521087">
        <w:rPr>
          <w:i/>
          <w:iCs/>
          <w:color w:val="000000" w:themeColor="text1"/>
        </w:rPr>
        <w:t xml:space="preserve"> </w:t>
      </w:r>
      <w:r w:rsidRPr="00521087">
        <w:rPr>
          <w:i/>
          <w:iCs/>
          <w:color w:val="000000" w:themeColor="text1"/>
        </w:rPr>
        <w:t>of</w:t>
      </w:r>
      <w:r w:rsidRPr="00521087">
        <w:rPr>
          <w:i/>
          <w:iCs/>
          <w:color w:val="000000" w:themeColor="text1"/>
        </w:rPr>
        <w:t xml:space="preserve"> </w:t>
      </w:r>
      <w:r w:rsidRPr="00521087">
        <w:rPr>
          <w:i/>
          <w:iCs/>
          <w:color w:val="000000" w:themeColor="text1"/>
        </w:rPr>
        <w:t>the</w:t>
      </w:r>
      <w:r w:rsidRPr="00521087">
        <w:rPr>
          <w:i/>
          <w:iCs/>
          <w:color w:val="000000" w:themeColor="text1"/>
        </w:rPr>
        <w:t xml:space="preserve"> </w:t>
      </w:r>
      <w:r w:rsidRPr="00521087">
        <w:rPr>
          <w:i/>
          <w:iCs/>
          <w:color w:val="000000" w:themeColor="text1"/>
        </w:rPr>
        <w:t>work</w:t>
      </w:r>
      <w:r w:rsidRPr="00521087">
        <w:rPr>
          <w:i/>
          <w:iCs/>
          <w:color w:val="000000" w:themeColor="text1"/>
        </w:rPr>
        <w:t xml:space="preserve"> </w:t>
      </w:r>
      <w:r w:rsidRPr="00521087">
        <w:rPr>
          <w:i/>
          <w:iCs/>
          <w:color w:val="000000" w:themeColor="text1"/>
        </w:rPr>
        <w:t>of</w:t>
      </w:r>
      <w:r w:rsidRPr="00521087">
        <w:rPr>
          <w:i/>
          <w:iCs/>
          <w:color w:val="000000" w:themeColor="text1"/>
        </w:rPr>
        <w:t xml:space="preserve"> </w:t>
      </w:r>
      <w:r w:rsidRPr="00521087">
        <w:rPr>
          <w:i/>
          <w:iCs/>
          <w:color w:val="000000" w:themeColor="text1"/>
        </w:rPr>
        <w:t>the</w:t>
      </w:r>
      <w:r w:rsidRPr="00521087">
        <w:rPr>
          <w:i/>
          <w:iCs/>
          <w:color w:val="000000" w:themeColor="text1"/>
        </w:rPr>
        <w:t xml:space="preserve"> </w:t>
      </w:r>
      <w:r w:rsidRPr="00521087">
        <w:rPr>
          <w:i/>
          <w:iCs/>
          <w:color w:val="000000" w:themeColor="text1"/>
        </w:rPr>
        <w:t>Ad</w:t>
      </w:r>
      <w:r w:rsidRPr="00521087">
        <w:rPr>
          <w:i/>
          <w:iCs/>
          <w:color w:val="000000" w:themeColor="text1"/>
        </w:rPr>
        <w:t xml:space="preserve"> </w:t>
      </w:r>
      <w:r w:rsidRPr="00521087">
        <w:rPr>
          <w:i/>
          <w:iCs/>
          <w:color w:val="000000" w:themeColor="text1"/>
        </w:rPr>
        <w:t>Hoc</w:t>
      </w:r>
      <w:r w:rsidRPr="00521087">
        <w:rPr>
          <w:i/>
          <w:iCs/>
          <w:color w:val="000000" w:themeColor="text1"/>
        </w:rPr>
        <w:t xml:space="preserve"> </w:t>
      </w:r>
      <w:r w:rsidRPr="00521087">
        <w:rPr>
          <w:i/>
          <w:iCs/>
          <w:color w:val="000000" w:themeColor="text1"/>
        </w:rPr>
        <w:t>Working</w:t>
      </w:r>
      <w:r w:rsidRPr="00521087">
        <w:rPr>
          <w:i/>
          <w:iCs/>
          <w:color w:val="000000" w:themeColor="text1"/>
        </w:rPr>
        <w:t xml:space="preserve"> </w:t>
      </w:r>
      <w:r w:rsidRPr="00521087">
        <w:rPr>
          <w:i/>
          <w:iCs/>
          <w:color w:val="000000" w:themeColor="text1"/>
        </w:rPr>
        <w:t>Group</w:t>
      </w:r>
      <w:r w:rsidRPr="00521087">
        <w:rPr>
          <w:i/>
          <w:iCs/>
          <w:color w:val="000000" w:themeColor="text1"/>
        </w:rPr>
        <w:t xml:space="preserve"> </w:t>
      </w:r>
      <w:r w:rsidRPr="00521087">
        <w:rPr>
          <w:i/>
          <w:iCs/>
          <w:color w:val="000000" w:themeColor="text1"/>
        </w:rPr>
        <w:t>on</w:t>
      </w:r>
      <w:r w:rsidRPr="00521087">
        <w:rPr>
          <w:i/>
          <w:iCs/>
          <w:color w:val="000000" w:themeColor="text1"/>
        </w:rPr>
        <w:t xml:space="preserve"> </w:t>
      </w:r>
      <w:r w:rsidRPr="00521087">
        <w:rPr>
          <w:i/>
          <w:iCs/>
          <w:color w:val="000000" w:themeColor="text1"/>
        </w:rPr>
        <w:t>Long</w:t>
      </w:r>
      <w:r w:rsidRPr="00521087">
        <w:rPr>
          <w:i/>
          <w:iCs/>
          <w:color w:val="000000" w:themeColor="text1"/>
        </w:rPr>
        <w:t xml:space="preserve">-term </w:t>
      </w:r>
      <w:r w:rsidRPr="00521087">
        <w:rPr>
          <w:i/>
          <w:iCs/>
          <w:color w:val="000000" w:themeColor="text1"/>
        </w:rPr>
        <w:t>Cooperative</w:t>
      </w:r>
      <w:r w:rsidRPr="00521087">
        <w:rPr>
          <w:i/>
          <w:iCs/>
          <w:color w:val="000000" w:themeColor="text1"/>
        </w:rPr>
        <w:t xml:space="preserve"> </w:t>
      </w:r>
      <w:r w:rsidRPr="00521087">
        <w:rPr>
          <w:i/>
          <w:iCs/>
          <w:color w:val="000000" w:themeColor="text1"/>
        </w:rPr>
        <w:t>Action</w:t>
      </w:r>
      <w:r w:rsidRPr="00521087">
        <w:rPr>
          <w:i/>
          <w:iCs/>
          <w:color w:val="000000" w:themeColor="text1"/>
        </w:rPr>
        <w:t xml:space="preserve"> </w:t>
      </w:r>
      <w:r w:rsidRPr="00521087">
        <w:rPr>
          <w:i/>
          <w:iCs/>
          <w:color w:val="000000" w:themeColor="text1"/>
        </w:rPr>
        <w:t>under</w:t>
      </w:r>
      <w:r w:rsidRPr="00521087">
        <w:rPr>
          <w:i/>
          <w:iCs/>
          <w:color w:val="000000" w:themeColor="text1"/>
        </w:rPr>
        <w:t xml:space="preserve"> </w:t>
      </w:r>
      <w:r w:rsidRPr="00521087">
        <w:rPr>
          <w:i/>
          <w:iCs/>
          <w:color w:val="000000" w:themeColor="text1"/>
        </w:rPr>
        <w:t>the</w:t>
      </w:r>
      <w:r w:rsidRPr="00521087">
        <w:rPr>
          <w:i/>
          <w:iCs/>
          <w:color w:val="000000" w:themeColor="text1"/>
        </w:rPr>
        <w:t xml:space="preserve"> </w:t>
      </w:r>
      <w:r w:rsidRPr="00521087">
        <w:rPr>
          <w:i/>
          <w:iCs/>
          <w:color w:val="000000" w:themeColor="text1"/>
        </w:rPr>
        <w:t>Convention</w:t>
      </w:r>
      <w:r w:rsidRPr="000B5BF1">
        <w:rPr>
          <w:color w:val="000000" w:themeColor="text1"/>
        </w:rPr>
        <w:t>)</w:t>
      </w:r>
      <w:r>
        <w:rPr>
          <w:color w:val="000000" w:themeColor="text1"/>
          <w:vertAlign w:val="superscript"/>
        </w:rPr>
        <w:footnoteReference w:id="12"/>
      </w:r>
      <w:r w:rsidR="00521087">
        <w:rPr>
          <w:color w:val="000000" w:themeColor="text1"/>
        </w:rPr>
        <w:t>.</w:t>
      </w:r>
    </w:p>
    <w:p w:rsidR="00192663" w:rsidRPr="000B5BF1" w:rsidP="007E6A0A" w14:paraId="4071D5E2" w14:textId="156E35E9">
      <w:pPr>
        <w:pStyle w:val="ListParagraph"/>
        <w:numPr>
          <w:ilvl w:val="1"/>
          <w:numId w:val="2"/>
        </w:numPr>
        <w:ind w:left="425" w:hanging="425"/>
        <w:jc w:val="both"/>
        <w:rPr>
          <w:color w:val="000000" w:themeColor="text1"/>
        </w:rPr>
      </w:pPr>
      <w:r w:rsidRPr="000B5BF1">
        <w:rPr>
          <w:color w:val="000000" w:themeColor="text1"/>
        </w:rPr>
        <w:t xml:space="preserve">Konvencijas Līgumslēdzēju pušu </w:t>
      </w:r>
      <w:r w:rsidRPr="000B5BF1" w:rsidR="00192F1E">
        <w:rPr>
          <w:color w:val="000000" w:themeColor="text1"/>
        </w:rPr>
        <w:t xml:space="preserve">sanāksmes piektās sesijas, kas notika 1999. gadā no 25. oktobra līdz 5. novembrim Bonnā, </w:t>
      </w:r>
      <w:r w:rsidRPr="000B5BF1">
        <w:rPr>
          <w:color w:val="000000" w:themeColor="text1"/>
        </w:rPr>
        <w:t>lēmums 4/CP.5 (</w:t>
      </w:r>
      <w:r w:rsidRPr="00521087">
        <w:rPr>
          <w:i/>
          <w:iCs/>
          <w:color w:val="000000" w:themeColor="text1"/>
        </w:rPr>
        <w:t>Guidelines</w:t>
      </w:r>
      <w:r w:rsidRPr="00521087">
        <w:rPr>
          <w:i/>
          <w:iCs/>
          <w:color w:val="000000" w:themeColor="text1"/>
        </w:rPr>
        <w:t xml:space="preserve"> </w:t>
      </w:r>
      <w:r w:rsidRPr="00521087">
        <w:rPr>
          <w:i/>
          <w:iCs/>
          <w:color w:val="000000" w:themeColor="text1"/>
        </w:rPr>
        <w:t>for</w:t>
      </w:r>
      <w:r w:rsidRPr="00521087">
        <w:rPr>
          <w:i/>
          <w:iCs/>
          <w:color w:val="000000" w:themeColor="text1"/>
        </w:rPr>
        <w:t xml:space="preserve"> </w:t>
      </w:r>
      <w:r w:rsidRPr="00521087">
        <w:rPr>
          <w:i/>
          <w:iCs/>
          <w:color w:val="000000" w:themeColor="text1"/>
        </w:rPr>
        <w:t>the</w:t>
      </w:r>
      <w:r w:rsidRPr="00521087">
        <w:rPr>
          <w:i/>
          <w:iCs/>
          <w:color w:val="000000" w:themeColor="text1"/>
        </w:rPr>
        <w:t xml:space="preserve"> </w:t>
      </w:r>
      <w:r w:rsidRPr="00521087">
        <w:rPr>
          <w:i/>
          <w:iCs/>
          <w:color w:val="000000" w:themeColor="text1"/>
        </w:rPr>
        <w:t>preparation</w:t>
      </w:r>
      <w:r w:rsidRPr="00521087">
        <w:rPr>
          <w:i/>
          <w:iCs/>
          <w:color w:val="000000" w:themeColor="text1"/>
        </w:rPr>
        <w:t xml:space="preserve"> </w:t>
      </w:r>
      <w:r w:rsidRPr="00521087">
        <w:rPr>
          <w:i/>
          <w:iCs/>
          <w:color w:val="000000" w:themeColor="text1"/>
        </w:rPr>
        <w:t>of</w:t>
      </w:r>
      <w:r w:rsidRPr="00521087">
        <w:rPr>
          <w:i/>
          <w:iCs/>
          <w:color w:val="000000" w:themeColor="text1"/>
        </w:rPr>
        <w:t xml:space="preserve"> </w:t>
      </w:r>
      <w:r w:rsidRPr="00521087">
        <w:rPr>
          <w:i/>
          <w:iCs/>
          <w:color w:val="000000" w:themeColor="text1"/>
        </w:rPr>
        <w:t>national</w:t>
      </w:r>
      <w:r w:rsidRPr="00521087">
        <w:rPr>
          <w:i/>
          <w:iCs/>
          <w:color w:val="000000" w:themeColor="text1"/>
        </w:rPr>
        <w:t xml:space="preserve"> </w:t>
      </w:r>
      <w:r w:rsidRPr="00521087">
        <w:rPr>
          <w:i/>
          <w:iCs/>
          <w:color w:val="000000" w:themeColor="text1"/>
        </w:rPr>
        <w:t>communications</w:t>
      </w:r>
      <w:r w:rsidRPr="00521087">
        <w:rPr>
          <w:i/>
          <w:iCs/>
          <w:color w:val="000000" w:themeColor="text1"/>
        </w:rPr>
        <w:t xml:space="preserve"> </w:t>
      </w:r>
      <w:r w:rsidRPr="00521087">
        <w:rPr>
          <w:i/>
          <w:iCs/>
          <w:color w:val="000000" w:themeColor="text1"/>
        </w:rPr>
        <w:t>by</w:t>
      </w:r>
      <w:r w:rsidRPr="00521087">
        <w:rPr>
          <w:i/>
          <w:iCs/>
          <w:color w:val="000000" w:themeColor="text1"/>
        </w:rPr>
        <w:t xml:space="preserve"> </w:t>
      </w:r>
      <w:r w:rsidRPr="00521087">
        <w:rPr>
          <w:i/>
          <w:iCs/>
          <w:color w:val="000000" w:themeColor="text1"/>
        </w:rPr>
        <w:t>Parties</w:t>
      </w:r>
      <w:r w:rsidRPr="00521087">
        <w:rPr>
          <w:i/>
          <w:iCs/>
          <w:color w:val="000000" w:themeColor="text1"/>
        </w:rPr>
        <w:t xml:space="preserve"> </w:t>
      </w:r>
      <w:r w:rsidRPr="00521087">
        <w:rPr>
          <w:i/>
          <w:iCs/>
          <w:color w:val="000000" w:themeColor="text1"/>
        </w:rPr>
        <w:t>included</w:t>
      </w:r>
      <w:r w:rsidRPr="00521087">
        <w:rPr>
          <w:i/>
          <w:iCs/>
          <w:color w:val="000000" w:themeColor="text1"/>
        </w:rPr>
        <w:t xml:space="preserve"> </w:t>
      </w:r>
      <w:r w:rsidRPr="00521087">
        <w:rPr>
          <w:i/>
          <w:iCs/>
          <w:color w:val="000000" w:themeColor="text1"/>
        </w:rPr>
        <w:t>in</w:t>
      </w:r>
      <w:r w:rsidRPr="00521087">
        <w:rPr>
          <w:i/>
          <w:iCs/>
          <w:color w:val="000000" w:themeColor="text1"/>
        </w:rPr>
        <w:t xml:space="preserve"> </w:t>
      </w:r>
      <w:r w:rsidRPr="00521087">
        <w:rPr>
          <w:i/>
          <w:iCs/>
          <w:color w:val="000000" w:themeColor="text1"/>
        </w:rPr>
        <w:t>Annex</w:t>
      </w:r>
      <w:r w:rsidRPr="00521087">
        <w:rPr>
          <w:i/>
          <w:iCs/>
          <w:color w:val="000000" w:themeColor="text1"/>
        </w:rPr>
        <w:t xml:space="preserve"> I to </w:t>
      </w:r>
      <w:r w:rsidRPr="00521087">
        <w:rPr>
          <w:i/>
          <w:iCs/>
          <w:color w:val="000000" w:themeColor="text1"/>
        </w:rPr>
        <w:t>the</w:t>
      </w:r>
      <w:r w:rsidRPr="00521087">
        <w:rPr>
          <w:i/>
          <w:iCs/>
          <w:color w:val="000000" w:themeColor="text1"/>
        </w:rPr>
        <w:t xml:space="preserve"> </w:t>
      </w:r>
      <w:r w:rsidRPr="00521087">
        <w:rPr>
          <w:i/>
          <w:iCs/>
          <w:color w:val="000000" w:themeColor="text1"/>
        </w:rPr>
        <w:t>Convention</w:t>
      </w:r>
      <w:r w:rsidRPr="00521087">
        <w:rPr>
          <w:i/>
          <w:iCs/>
          <w:color w:val="000000" w:themeColor="text1"/>
        </w:rPr>
        <w:t xml:space="preserve">, </w:t>
      </w:r>
      <w:r w:rsidRPr="00521087">
        <w:rPr>
          <w:i/>
          <w:iCs/>
          <w:color w:val="000000" w:themeColor="text1"/>
        </w:rPr>
        <w:t>Part</w:t>
      </w:r>
      <w:r w:rsidRPr="00521087">
        <w:rPr>
          <w:i/>
          <w:iCs/>
          <w:color w:val="000000" w:themeColor="text1"/>
        </w:rPr>
        <w:t xml:space="preserve"> II:  UNFCCC </w:t>
      </w:r>
      <w:r w:rsidRPr="00521087">
        <w:rPr>
          <w:i/>
          <w:iCs/>
          <w:color w:val="000000" w:themeColor="text1"/>
        </w:rPr>
        <w:t>reporting</w:t>
      </w:r>
      <w:r w:rsidRPr="00521087">
        <w:rPr>
          <w:i/>
          <w:iCs/>
          <w:color w:val="000000" w:themeColor="text1"/>
        </w:rPr>
        <w:t xml:space="preserve"> </w:t>
      </w:r>
      <w:r w:rsidRPr="00521087">
        <w:rPr>
          <w:i/>
          <w:iCs/>
          <w:color w:val="000000" w:themeColor="text1"/>
        </w:rPr>
        <w:t>guidelines</w:t>
      </w:r>
      <w:r w:rsidRPr="00521087">
        <w:rPr>
          <w:i/>
          <w:iCs/>
          <w:color w:val="000000" w:themeColor="text1"/>
        </w:rPr>
        <w:t xml:space="preserve"> </w:t>
      </w:r>
      <w:r w:rsidRPr="00521087">
        <w:rPr>
          <w:i/>
          <w:iCs/>
          <w:color w:val="000000" w:themeColor="text1"/>
        </w:rPr>
        <w:t>on</w:t>
      </w:r>
      <w:r w:rsidRPr="00521087">
        <w:rPr>
          <w:i/>
          <w:iCs/>
          <w:color w:val="000000" w:themeColor="text1"/>
        </w:rPr>
        <w:t xml:space="preserve"> </w:t>
      </w:r>
      <w:r w:rsidRPr="00521087">
        <w:rPr>
          <w:i/>
          <w:iCs/>
          <w:color w:val="000000" w:themeColor="text1"/>
        </w:rPr>
        <w:t>national</w:t>
      </w:r>
      <w:r w:rsidRPr="00521087">
        <w:rPr>
          <w:i/>
          <w:iCs/>
          <w:color w:val="000000" w:themeColor="text1"/>
        </w:rPr>
        <w:t xml:space="preserve"> </w:t>
      </w:r>
      <w:r w:rsidRPr="00521087">
        <w:rPr>
          <w:i/>
          <w:iCs/>
          <w:color w:val="000000" w:themeColor="text1"/>
        </w:rPr>
        <w:t>communications</w:t>
      </w:r>
      <w:r w:rsidRPr="000B5BF1">
        <w:rPr>
          <w:color w:val="000000" w:themeColor="text1"/>
        </w:rPr>
        <w:t>)</w:t>
      </w:r>
      <w:r>
        <w:rPr>
          <w:color w:val="000000" w:themeColor="text1"/>
          <w:vertAlign w:val="superscript"/>
        </w:rPr>
        <w:footnoteReference w:id="13"/>
      </w:r>
      <w:r w:rsidR="00521087">
        <w:rPr>
          <w:color w:val="000000" w:themeColor="text1"/>
        </w:rPr>
        <w:t>.</w:t>
      </w:r>
    </w:p>
    <w:p w:rsidR="00031D89" w:rsidRPr="000B5BF1" w:rsidP="007E6A0A" w14:paraId="7E7957CC" w14:textId="666DCDBF">
      <w:pPr>
        <w:pStyle w:val="ListParagraph"/>
        <w:numPr>
          <w:ilvl w:val="1"/>
          <w:numId w:val="2"/>
        </w:numPr>
        <w:ind w:left="425" w:hanging="425"/>
        <w:jc w:val="both"/>
        <w:rPr>
          <w:color w:val="000000" w:themeColor="text1"/>
        </w:rPr>
      </w:pPr>
      <w:r w:rsidRPr="000B5BF1">
        <w:rPr>
          <w:color w:val="000000" w:themeColor="text1"/>
        </w:rPr>
        <w:t>Konvencijas Līgumslēdzēju pušu</w:t>
      </w:r>
      <w:r w:rsidRPr="000B5BF1" w:rsidR="000A32B5">
        <w:rPr>
          <w:color w:val="000000" w:themeColor="text1"/>
        </w:rPr>
        <w:t xml:space="preserve"> sanāksmes 16. sesijas, kas notika 2010. gadā no 29. novembra līdz 10. decembrim </w:t>
      </w:r>
      <w:r w:rsidRPr="000B5BF1" w:rsidR="000A32B5">
        <w:rPr>
          <w:color w:val="000000" w:themeColor="text1"/>
        </w:rPr>
        <w:t>Kankūnā</w:t>
      </w:r>
      <w:r w:rsidRPr="000B5BF1" w:rsidR="000A32B5">
        <w:rPr>
          <w:color w:val="000000" w:themeColor="text1"/>
        </w:rPr>
        <w:t>,</w:t>
      </w:r>
      <w:r w:rsidRPr="000B5BF1">
        <w:rPr>
          <w:color w:val="000000" w:themeColor="text1"/>
        </w:rPr>
        <w:t xml:space="preserve"> lēmums 9/CP.16 (</w:t>
      </w:r>
      <w:r w:rsidRPr="00521087">
        <w:rPr>
          <w:i/>
          <w:iCs/>
          <w:color w:val="000000" w:themeColor="text1"/>
        </w:rPr>
        <w:t xml:space="preserve">National </w:t>
      </w:r>
      <w:r w:rsidRPr="00521087">
        <w:rPr>
          <w:i/>
          <w:iCs/>
          <w:color w:val="000000" w:themeColor="text1"/>
        </w:rPr>
        <w:t>communications</w:t>
      </w:r>
      <w:r w:rsidRPr="00521087">
        <w:rPr>
          <w:i/>
          <w:iCs/>
          <w:color w:val="000000" w:themeColor="text1"/>
        </w:rPr>
        <w:t xml:space="preserve"> </w:t>
      </w:r>
      <w:r w:rsidRPr="00521087">
        <w:rPr>
          <w:i/>
          <w:iCs/>
          <w:color w:val="000000" w:themeColor="text1"/>
        </w:rPr>
        <w:t>from</w:t>
      </w:r>
      <w:r w:rsidRPr="00521087">
        <w:rPr>
          <w:i/>
          <w:iCs/>
          <w:color w:val="000000" w:themeColor="text1"/>
        </w:rPr>
        <w:t xml:space="preserve"> </w:t>
      </w:r>
      <w:r w:rsidRPr="00521087">
        <w:rPr>
          <w:i/>
          <w:iCs/>
          <w:color w:val="000000" w:themeColor="text1"/>
        </w:rPr>
        <w:t>Parties</w:t>
      </w:r>
      <w:r w:rsidRPr="00521087">
        <w:rPr>
          <w:i/>
          <w:iCs/>
          <w:color w:val="000000" w:themeColor="text1"/>
        </w:rPr>
        <w:t xml:space="preserve"> </w:t>
      </w:r>
      <w:r w:rsidRPr="00521087">
        <w:rPr>
          <w:i/>
          <w:iCs/>
          <w:color w:val="000000" w:themeColor="text1"/>
        </w:rPr>
        <w:t>included</w:t>
      </w:r>
      <w:r w:rsidRPr="00521087">
        <w:rPr>
          <w:i/>
          <w:iCs/>
          <w:color w:val="000000" w:themeColor="text1"/>
        </w:rPr>
        <w:t xml:space="preserve"> </w:t>
      </w:r>
      <w:r w:rsidRPr="00521087">
        <w:rPr>
          <w:i/>
          <w:iCs/>
          <w:color w:val="000000" w:themeColor="text1"/>
        </w:rPr>
        <w:t>in</w:t>
      </w:r>
      <w:r w:rsidRPr="00521087">
        <w:rPr>
          <w:i/>
          <w:iCs/>
          <w:color w:val="000000" w:themeColor="text1"/>
        </w:rPr>
        <w:t xml:space="preserve"> </w:t>
      </w:r>
      <w:r w:rsidRPr="00521087">
        <w:rPr>
          <w:i/>
          <w:iCs/>
          <w:color w:val="000000" w:themeColor="text1"/>
        </w:rPr>
        <w:t>Annex</w:t>
      </w:r>
      <w:r w:rsidRPr="00521087">
        <w:rPr>
          <w:i/>
          <w:iCs/>
          <w:color w:val="000000" w:themeColor="text1"/>
        </w:rPr>
        <w:t xml:space="preserve"> I to </w:t>
      </w:r>
      <w:r w:rsidRPr="00521087">
        <w:rPr>
          <w:i/>
          <w:iCs/>
          <w:color w:val="000000" w:themeColor="text1"/>
        </w:rPr>
        <w:t>the</w:t>
      </w:r>
      <w:r w:rsidRPr="00521087">
        <w:rPr>
          <w:i/>
          <w:iCs/>
          <w:color w:val="000000" w:themeColor="text1"/>
        </w:rPr>
        <w:t xml:space="preserve"> </w:t>
      </w:r>
      <w:r w:rsidRPr="00521087">
        <w:rPr>
          <w:i/>
          <w:iCs/>
          <w:color w:val="000000" w:themeColor="text1"/>
        </w:rPr>
        <w:t>Convention</w:t>
      </w:r>
      <w:r w:rsidRPr="000B5BF1">
        <w:rPr>
          <w:color w:val="000000" w:themeColor="text1"/>
        </w:rPr>
        <w:t>)</w:t>
      </w:r>
      <w:r>
        <w:rPr>
          <w:color w:val="000000" w:themeColor="text1"/>
          <w:vertAlign w:val="superscript"/>
        </w:rPr>
        <w:footnoteReference w:id="14"/>
      </w:r>
      <w:r w:rsidR="00521087">
        <w:rPr>
          <w:color w:val="000000" w:themeColor="text1"/>
        </w:rPr>
        <w:t>.</w:t>
      </w:r>
    </w:p>
    <w:p w:rsidR="00031D89" w:rsidRPr="000B5BF1" w:rsidP="007E6A0A" w14:paraId="3BB77804" w14:textId="390C2FD2">
      <w:pPr>
        <w:pStyle w:val="ListParagraph"/>
        <w:numPr>
          <w:ilvl w:val="1"/>
          <w:numId w:val="2"/>
        </w:numPr>
        <w:ind w:left="425" w:hanging="425"/>
        <w:jc w:val="both"/>
        <w:rPr>
          <w:color w:val="000000" w:themeColor="text1"/>
        </w:rPr>
      </w:pPr>
      <w:r w:rsidRPr="000B5BF1">
        <w:rPr>
          <w:color w:val="000000" w:themeColor="text1"/>
        </w:rPr>
        <w:t>Konvencijas Līgumslēdzēju pušu</w:t>
      </w:r>
      <w:r w:rsidRPr="000B5BF1" w:rsidR="000A32B5">
        <w:rPr>
          <w:color w:val="000000" w:themeColor="text1"/>
        </w:rPr>
        <w:t xml:space="preserve"> sanāksmes 18. sesijas, kas notika 2012. gadā no 26. novembra līdz 8. decembrim Dohā,</w:t>
      </w:r>
      <w:r w:rsidRPr="000B5BF1">
        <w:rPr>
          <w:color w:val="000000" w:themeColor="text1"/>
        </w:rPr>
        <w:t xml:space="preserve"> lēmums 19/CP.18 (</w:t>
      </w:r>
      <w:r w:rsidRPr="00521087">
        <w:rPr>
          <w:i/>
          <w:iCs/>
          <w:color w:val="000000" w:themeColor="text1"/>
        </w:rPr>
        <w:t>Common</w:t>
      </w:r>
      <w:r w:rsidRPr="00521087">
        <w:rPr>
          <w:i/>
          <w:iCs/>
          <w:color w:val="000000" w:themeColor="text1"/>
        </w:rPr>
        <w:t xml:space="preserve"> </w:t>
      </w:r>
      <w:r w:rsidRPr="00521087">
        <w:rPr>
          <w:i/>
          <w:iCs/>
          <w:color w:val="000000" w:themeColor="text1"/>
        </w:rPr>
        <w:t>tabular</w:t>
      </w:r>
      <w:r w:rsidRPr="00521087">
        <w:rPr>
          <w:i/>
          <w:iCs/>
          <w:color w:val="000000" w:themeColor="text1"/>
        </w:rPr>
        <w:t xml:space="preserve"> </w:t>
      </w:r>
      <w:r w:rsidRPr="00521087">
        <w:rPr>
          <w:i/>
          <w:iCs/>
          <w:color w:val="000000" w:themeColor="text1"/>
        </w:rPr>
        <w:t>format</w:t>
      </w:r>
      <w:r w:rsidRPr="00521087">
        <w:rPr>
          <w:i/>
          <w:iCs/>
          <w:color w:val="000000" w:themeColor="text1"/>
        </w:rPr>
        <w:t xml:space="preserve"> </w:t>
      </w:r>
      <w:r w:rsidRPr="00521087">
        <w:rPr>
          <w:i/>
          <w:iCs/>
          <w:color w:val="000000" w:themeColor="text1"/>
        </w:rPr>
        <w:t>for</w:t>
      </w:r>
      <w:r w:rsidRPr="00521087">
        <w:rPr>
          <w:i/>
          <w:iCs/>
          <w:color w:val="000000" w:themeColor="text1"/>
        </w:rPr>
        <w:t xml:space="preserve"> “UNFCCC </w:t>
      </w:r>
      <w:r w:rsidRPr="00521087">
        <w:rPr>
          <w:i/>
          <w:iCs/>
          <w:color w:val="000000" w:themeColor="text1"/>
        </w:rPr>
        <w:t>biennial</w:t>
      </w:r>
      <w:r w:rsidRPr="00521087">
        <w:rPr>
          <w:i/>
          <w:iCs/>
          <w:color w:val="000000" w:themeColor="text1"/>
        </w:rPr>
        <w:t xml:space="preserve"> </w:t>
      </w:r>
      <w:r w:rsidRPr="00521087">
        <w:rPr>
          <w:i/>
          <w:iCs/>
          <w:color w:val="000000" w:themeColor="text1"/>
        </w:rPr>
        <w:t>reporting</w:t>
      </w:r>
      <w:r w:rsidRPr="00521087">
        <w:rPr>
          <w:i/>
          <w:iCs/>
          <w:color w:val="000000" w:themeColor="text1"/>
        </w:rPr>
        <w:t xml:space="preserve"> </w:t>
      </w:r>
      <w:r w:rsidRPr="00521087">
        <w:rPr>
          <w:i/>
          <w:iCs/>
          <w:color w:val="000000" w:themeColor="text1"/>
        </w:rPr>
        <w:t>guidelines</w:t>
      </w:r>
      <w:r w:rsidRPr="00521087">
        <w:rPr>
          <w:i/>
          <w:iCs/>
          <w:color w:val="000000" w:themeColor="text1"/>
        </w:rPr>
        <w:t xml:space="preserve"> </w:t>
      </w:r>
      <w:r w:rsidRPr="00521087">
        <w:rPr>
          <w:i/>
          <w:iCs/>
          <w:color w:val="000000" w:themeColor="text1"/>
        </w:rPr>
        <w:t>for</w:t>
      </w:r>
      <w:r w:rsidRPr="00521087">
        <w:rPr>
          <w:i/>
          <w:iCs/>
          <w:color w:val="000000" w:themeColor="text1"/>
        </w:rPr>
        <w:t xml:space="preserve"> </w:t>
      </w:r>
      <w:r w:rsidRPr="00521087">
        <w:rPr>
          <w:i/>
          <w:iCs/>
          <w:color w:val="000000" w:themeColor="text1"/>
        </w:rPr>
        <w:t>developed</w:t>
      </w:r>
      <w:r w:rsidRPr="00521087">
        <w:rPr>
          <w:i/>
          <w:iCs/>
          <w:color w:val="000000" w:themeColor="text1"/>
        </w:rPr>
        <w:t xml:space="preserve"> </w:t>
      </w:r>
      <w:r w:rsidRPr="00521087">
        <w:rPr>
          <w:i/>
          <w:iCs/>
          <w:color w:val="000000" w:themeColor="text1"/>
        </w:rPr>
        <w:t>country</w:t>
      </w:r>
      <w:r w:rsidRPr="00521087">
        <w:rPr>
          <w:i/>
          <w:iCs/>
          <w:color w:val="000000" w:themeColor="text1"/>
        </w:rPr>
        <w:t xml:space="preserve"> </w:t>
      </w:r>
      <w:r w:rsidRPr="00521087">
        <w:rPr>
          <w:i/>
          <w:iCs/>
          <w:color w:val="000000" w:themeColor="text1"/>
        </w:rPr>
        <w:t>Parties</w:t>
      </w:r>
      <w:r w:rsidRPr="00521087">
        <w:rPr>
          <w:i/>
          <w:iCs/>
          <w:color w:val="000000" w:themeColor="text1"/>
        </w:rPr>
        <w:t>”</w:t>
      </w:r>
      <w:r w:rsidRPr="000B5BF1">
        <w:rPr>
          <w:color w:val="000000" w:themeColor="text1"/>
        </w:rPr>
        <w:t>)</w:t>
      </w:r>
      <w:r>
        <w:rPr>
          <w:color w:val="000000" w:themeColor="text1"/>
          <w:vertAlign w:val="superscript"/>
        </w:rPr>
        <w:footnoteReference w:id="15"/>
      </w:r>
      <w:r w:rsidR="00521087">
        <w:rPr>
          <w:color w:val="000000" w:themeColor="text1"/>
        </w:rPr>
        <w:t>.</w:t>
      </w:r>
    </w:p>
    <w:p w:rsidR="00031D89" w:rsidP="007E6A0A" w14:paraId="6066B3B3" w14:textId="22EC8F5F">
      <w:pPr>
        <w:pStyle w:val="ListParagraph"/>
        <w:numPr>
          <w:ilvl w:val="1"/>
          <w:numId w:val="2"/>
        </w:numPr>
        <w:ind w:left="425" w:hanging="425"/>
        <w:jc w:val="both"/>
        <w:rPr>
          <w:color w:val="000000" w:themeColor="text1"/>
        </w:rPr>
      </w:pPr>
      <w:r w:rsidRPr="000B5BF1">
        <w:rPr>
          <w:color w:val="000000" w:themeColor="text1"/>
        </w:rPr>
        <w:t>Konvencijas Līgumslēdzēju pušu</w:t>
      </w:r>
      <w:r w:rsidRPr="000B5BF1" w:rsidR="00F35155">
        <w:rPr>
          <w:color w:val="000000" w:themeColor="text1"/>
        </w:rPr>
        <w:t xml:space="preserve"> pirmās Kioto protokola sesijas sanāksmes, kas notika 2005. gadā no 28. novembra līdz 10. decembrim Monreālā,</w:t>
      </w:r>
      <w:r w:rsidRPr="000B5BF1">
        <w:rPr>
          <w:color w:val="000000" w:themeColor="text1"/>
        </w:rPr>
        <w:t xml:space="preserve"> lēmums 13/CMP.1 (</w:t>
      </w:r>
      <w:r w:rsidRPr="00521087">
        <w:rPr>
          <w:i/>
          <w:iCs/>
          <w:color w:val="000000" w:themeColor="text1"/>
        </w:rPr>
        <w:t>Modalities</w:t>
      </w:r>
      <w:r w:rsidRPr="00521087">
        <w:rPr>
          <w:i/>
          <w:iCs/>
          <w:color w:val="000000" w:themeColor="text1"/>
        </w:rPr>
        <w:t xml:space="preserve"> </w:t>
      </w:r>
      <w:r w:rsidRPr="00521087">
        <w:rPr>
          <w:i/>
          <w:iCs/>
          <w:color w:val="000000" w:themeColor="text1"/>
        </w:rPr>
        <w:t>for</w:t>
      </w:r>
      <w:r w:rsidRPr="00521087">
        <w:rPr>
          <w:i/>
          <w:iCs/>
          <w:color w:val="000000" w:themeColor="text1"/>
        </w:rPr>
        <w:t xml:space="preserve"> </w:t>
      </w:r>
      <w:r w:rsidRPr="00521087">
        <w:rPr>
          <w:i/>
          <w:iCs/>
          <w:color w:val="000000" w:themeColor="text1"/>
        </w:rPr>
        <w:t>the</w:t>
      </w:r>
      <w:r w:rsidRPr="00521087">
        <w:rPr>
          <w:i/>
          <w:iCs/>
          <w:color w:val="000000" w:themeColor="text1"/>
        </w:rPr>
        <w:t xml:space="preserve"> </w:t>
      </w:r>
      <w:r w:rsidRPr="00521087">
        <w:rPr>
          <w:i/>
          <w:iCs/>
          <w:color w:val="000000" w:themeColor="text1"/>
        </w:rPr>
        <w:t>accounting</w:t>
      </w:r>
      <w:r w:rsidRPr="00521087">
        <w:rPr>
          <w:i/>
          <w:iCs/>
          <w:color w:val="000000" w:themeColor="text1"/>
        </w:rPr>
        <w:t xml:space="preserve"> </w:t>
      </w:r>
      <w:r w:rsidRPr="00521087">
        <w:rPr>
          <w:i/>
          <w:iCs/>
          <w:color w:val="000000" w:themeColor="text1"/>
        </w:rPr>
        <w:t>of</w:t>
      </w:r>
      <w:r w:rsidRPr="00521087">
        <w:rPr>
          <w:i/>
          <w:iCs/>
          <w:color w:val="000000" w:themeColor="text1"/>
        </w:rPr>
        <w:t xml:space="preserve"> </w:t>
      </w:r>
      <w:r w:rsidRPr="00521087">
        <w:rPr>
          <w:i/>
          <w:iCs/>
          <w:color w:val="000000" w:themeColor="text1"/>
        </w:rPr>
        <w:t>assigned</w:t>
      </w:r>
      <w:r w:rsidRPr="00521087">
        <w:rPr>
          <w:i/>
          <w:iCs/>
          <w:color w:val="000000" w:themeColor="text1"/>
        </w:rPr>
        <w:t xml:space="preserve"> </w:t>
      </w:r>
      <w:r w:rsidRPr="00521087">
        <w:rPr>
          <w:i/>
          <w:iCs/>
          <w:color w:val="000000" w:themeColor="text1"/>
        </w:rPr>
        <w:t>amounts</w:t>
      </w:r>
      <w:r w:rsidRPr="00521087">
        <w:rPr>
          <w:i/>
          <w:iCs/>
          <w:color w:val="000000" w:themeColor="text1"/>
        </w:rPr>
        <w:t xml:space="preserve"> </w:t>
      </w:r>
      <w:r w:rsidRPr="00521087">
        <w:rPr>
          <w:i/>
          <w:iCs/>
          <w:color w:val="000000" w:themeColor="text1"/>
        </w:rPr>
        <w:t>under</w:t>
      </w:r>
      <w:r w:rsidRPr="00521087">
        <w:rPr>
          <w:i/>
          <w:iCs/>
          <w:color w:val="000000" w:themeColor="text1"/>
        </w:rPr>
        <w:t xml:space="preserve"> </w:t>
      </w:r>
      <w:r w:rsidRPr="00521087">
        <w:rPr>
          <w:i/>
          <w:iCs/>
          <w:color w:val="000000" w:themeColor="text1"/>
        </w:rPr>
        <w:t>Article</w:t>
      </w:r>
      <w:r w:rsidRPr="00521087">
        <w:rPr>
          <w:i/>
          <w:iCs/>
          <w:color w:val="000000" w:themeColor="text1"/>
        </w:rPr>
        <w:t xml:space="preserve"> 7, </w:t>
      </w:r>
      <w:r w:rsidRPr="00521087">
        <w:rPr>
          <w:i/>
          <w:iCs/>
          <w:color w:val="000000" w:themeColor="text1"/>
        </w:rPr>
        <w:t>paragraph</w:t>
      </w:r>
      <w:r w:rsidRPr="00521087">
        <w:rPr>
          <w:i/>
          <w:iCs/>
          <w:color w:val="000000" w:themeColor="text1"/>
        </w:rPr>
        <w:t xml:space="preserve"> 4, </w:t>
      </w:r>
      <w:r w:rsidRPr="00521087">
        <w:rPr>
          <w:i/>
          <w:iCs/>
          <w:color w:val="000000" w:themeColor="text1"/>
        </w:rPr>
        <w:t>of</w:t>
      </w:r>
      <w:r w:rsidRPr="00521087">
        <w:rPr>
          <w:i/>
          <w:iCs/>
          <w:color w:val="000000" w:themeColor="text1"/>
        </w:rPr>
        <w:t xml:space="preserve"> </w:t>
      </w:r>
      <w:r w:rsidRPr="00521087">
        <w:rPr>
          <w:i/>
          <w:iCs/>
          <w:color w:val="000000" w:themeColor="text1"/>
        </w:rPr>
        <w:t>the</w:t>
      </w:r>
      <w:r w:rsidRPr="00521087">
        <w:rPr>
          <w:i/>
          <w:iCs/>
          <w:color w:val="000000" w:themeColor="text1"/>
        </w:rPr>
        <w:t xml:space="preserve"> </w:t>
      </w:r>
      <w:r w:rsidRPr="00521087">
        <w:rPr>
          <w:i/>
          <w:iCs/>
          <w:color w:val="000000" w:themeColor="text1"/>
        </w:rPr>
        <w:t>Kyoto</w:t>
      </w:r>
      <w:r w:rsidRPr="00521087">
        <w:rPr>
          <w:i/>
          <w:iCs/>
          <w:color w:val="000000" w:themeColor="text1"/>
        </w:rPr>
        <w:t xml:space="preserve"> </w:t>
      </w:r>
      <w:r w:rsidRPr="00521087">
        <w:rPr>
          <w:i/>
          <w:iCs/>
          <w:color w:val="000000" w:themeColor="text1"/>
        </w:rPr>
        <w:t>Protocol</w:t>
      </w:r>
      <w:r w:rsidRPr="000B5BF1">
        <w:rPr>
          <w:color w:val="000000" w:themeColor="text1"/>
        </w:rPr>
        <w:t>)</w:t>
      </w:r>
      <w:r>
        <w:rPr>
          <w:color w:val="000000" w:themeColor="text1"/>
          <w:vertAlign w:val="superscript"/>
        </w:rPr>
        <w:footnoteReference w:id="16"/>
      </w:r>
      <w:r w:rsidR="00521087">
        <w:rPr>
          <w:color w:val="000000" w:themeColor="text1"/>
        </w:rPr>
        <w:t>.</w:t>
      </w:r>
    </w:p>
    <w:p w:rsidR="006114AB" w:rsidRPr="001541D3" w:rsidP="00057513" w14:paraId="2BEC71A7" w14:textId="5B455701">
      <w:pPr>
        <w:pStyle w:val="ListParagraph"/>
        <w:numPr>
          <w:ilvl w:val="1"/>
          <w:numId w:val="2"/>
        </w:numPr>
        <w:ind w:left="425" w:hanging="425"/>
        <w:jc w:val="both"/>
        <w:rPr>
          <w:color w:val="000000" w:themeColor="text1"/>
        </w:rPr>
      </w:pPr>
      <w:r w:rsidRPr="00057513">
        <w:rPr>
          <w:color w:val="000000" w:themeColor="text1"/>
        </w:rPr>
        <w:t xml:space="preserve">Konvencijas Līgumslēdzēju pušu </w:t>
      </w:r>
      <w:r w:rsidRPr="00057513" w:rsidR="00F35192">
        <w:rPr>
          <w:color w:val="000000" w:themeColor="text1"/>
        </w:rPr>
        <w:t xml:space="preserve">Parīzes vienošanās </w:t>
      </w:r>
      <w:r w:rsidRPr="00057513">
        <w:rPr>
          <w:color w:val="000000" w:themeColor="text1"/>
        </w:rPr>
        <w:t>sanāksmes</w:t>
      </w:r>
      <w:r w:rsidRPr="00057513" w:rsidR="00F35192">
        <w:rPr>
          <w:color w:val="000000" w:themeColor="text1"/>
        </w:rPr>
        <w:t>, kas notika 2018. gadā no 2. līdz 15. decembrim Katovicē, lēmums 18/CMA.1 (</w:t>
      </w:r>
      <w:r w:rsidRPr="00521087">
        <w:rPr>
          <w:i/>
          <w:iCs/>
        </w:rPr>
        <w:t>Modalities</w:t>
      </w:r>
      <w:r w:rsidRPr="00521087">
        <w:rPr>
          <w:i/>
          <w:iCs/>
        </w:rPr>
        <w:t xml:space="preserve">, </w:t>
      </w:r>
      <w:r w:rsidRPr="00521087">
        <w:rPr>
          <w:i/>
          <w:iCs/>
        </w:rPr>
        <w:t>procedures</w:t>
      </w:r>
      <w:r w:rsidRPr="00521087">
        <w:rPr>
          <w:i/>
          <w:iCs/>
        </w:rPr>
        <w:t xml:space="preserve"> </w:t>
      </w:r>
      <w:r w:rsidRPr="00521087">
        <w:rPr>
          <w:i/>
          <w:iCs/>
        </w:rPr>
        <w:t>and</w:t>
      </w:r>
      <w:r w:rsidRPr="00521087">
        <w:rPr>
          <w:i/>
          <w:iCs/>
        </w:rPr>
        <w:t xml:space="preserve"> </w:t>
      </w:r>
      <w:r w:rsidRPr="00521087">
        <w:rPr>
          <w:i/>
          <w:iCs/>
        </w:rPr>
        <w:t>guidelines</w:t>
      </w:r>
      <w:r w:rsidRPr="00521087">
        <w:rPr>
          <w:i/>
          <w:iCs/>
        </w:rPr>
        <w:t xml:space="preserve"> </w:t>
      </w:r>
      <w:r w:rsidRPr="00521087">
        <w:rPr>
          <w:i/>
          <w:iCs/>
        </w:rPr>
        <w:t>for</w:t>
      </w:r>
      <w:r w:rsidRPr="00521087">
        <w:rPr>
          <w:i/>
          <w:iCs/>
        </w:rPr>
        <w:t xml:space="preserve"> </w:t>
      </w:r>
      <w:r w:rsidRPr="00521087">
        <w:rPr>
          <w:i/>
          <w:iCs/>
        </w:rPr>
        <w:t>the</w:t>
      </w:r>
      <w:r w:rsidRPr="00521087">
        <w:rPr>
          <w:i/>
          <w:iCs/>
        </w:rPr>
        <w:t xml:space="preserve"> </w:t>
      </w:r>
      <w:r w:rsidRPr="00521087">
        <w:rPr>
          <w:i/>
          <w:iCs/>
        </w:rPr>
        <w:t>transparency</w:t>
      </w:r>
      <w:r w:rsidRPr="00521087">
        <w:rPr>
          <w:i/>
          <w:iCs/>
        </w:rPr>
        <w:t xml:space="preserve"> </w:t>
      </w:r>
      <w:r w:rsidRPr="00521087">
        <w:rPr>
          <w:i/>
          <w:iCs/>
        </w:rPr>
        <w:t>framework</w:t>
      </w:r>
      <w:r w:rsidRPr="00521087">
        <w:rPr>
          <w:i/>
          <w:iCs/>
        </w:rPr>
        <w:t xml:space="preserve"> </w:t>
      </w:r>
      <w:r w:rsidRPr="00521087">
        <w:rPr>
          <w:i/>
          <w:iCs/>
        </w:rPr>
        <w:t>for</w:t>
      </w:r>
      <w:r w:rsidRPr="00521087">
        <w:rPr>
          <w:i/>
          <w:iCs/>
        </w:rPr>
        <w:t xml:space="preserve"> </w:t>
      </w:r>
      <w:r w:rsidRPr="00521087">
        <w:rPr>
          <w:i/>
          <w:iCs/>
        </w:rPr>
        <w:t>action</w:t>
      </w:r>
      <w:r w:rsidRPr="00521087">
        <w:rPr>
          <w:i/>
          <w:iCs/>
        </w:rPr>
        <w:t xml:space="preserve"> </w:t>
      </w:r>
      <w:r w:rsidRPr="00521087">
        <w:rPr>
          <w:i/>
          <w:iCs/>
        </w:rPr>
        <w:t>and</w:t>
      </w:r>
      <w:r w:rsidRPr="00521087">
        <w:rPr>
          <w:i/>
          <w:iCs/>
        </w:rPr>
        <w:t xml:space="preserve"> </w:t>
      </w:r>
      <w:r w:rsidRPr="00521087">
        <w:rPr>
          <w:i/>
          <w:iCs/>
        </w:rPr>
        <w:t>support</w:t>
      </w:r>
      <w:r w:rsidRPr="00521087">
        <w:rPr>
          <w:i/>
          <w:iCs/>
        </w:rPr>
        <w:t xml:space="preserve"> </w:t>
      </w:r>
      <w:r w:rsidRPr="00521087">
        <w:rPr>
          <w:i/>
          <w:iCs/>
        </w:rPr>
        <w:t>referred</w:t>
      </w:r>
      <w:r w:rsidRPr="00521087">
        <w:rPr>
          <w:i/>
          <w:iCs/>
        </w:rPr>
        <w:t xml:space="preserve"> to </w:t>
      </w:r>
      <w:r w:rsidRPr="00521087">
        <w:rPr>
          <w:i/>
          <w:iCs/>
        </w:rPr>
        <w:t>in</w:t>
      </w:r>
      <w:r w:rsidRPr="00521087">
        <w:rPr>
          <w:i/>
          <w:iCs/>
        </w:rPr>
        <w:t xml:space="preserve"> </w:t>
      </w:r>
      <w:r w:rsidRPr="00521087">
        <w:rPr>
          <w:i/>
          <w:iCs/>
        </w:rPr>
        <w:t>Article</w:t>
      </w:r>
      <w:r w:rsidRPr="00521087">
        <w:rPr>
          <w:i/>
          <w:iCs/>
        </w:rPr>
        <w:t xml:space="preserve"> 13 </w:t>
      </w:r>
      <w:r w:rsidRPr="00521087">
        <w:rPr>
          <w:i/>
          <w:iCs/>
        </w:rPr>
        <w:t>of</w:t>
      </w:r>
      <w:r w:rsidRPr="00521087">
        <w:rPr>
          <w:i/>
          <w:iCs/>
        </w:rPr>
        <w:t xml:space="preserve"> </w:t>
      </w:r>
      <w:r w:rsidRPr="00521087">
        <w:rPr>
          <w:i/>
          <w:iCs/>
        </w:rPr>
        <w:t>the</w:t>
      </w:r>
      <w:r w:rsidRPr="00521087">
        <w:rPr>
          <w:i/>
          <w:iCs/>
        </w:rPr>
        <w:t xml:space="preserve"> Paris </w:t>
      </w:r>
      <w:r w:rsidRPr="00521087">
        <w:rPr>
          <w:i/>
          <w:iCs/>
        </w:rPr>
        <w:t>Agreement</w:t>
      </w:r>
      <w:r w:rsidR="00F35192">
        <w:t>)</w:t>
      </w:r>
      <w:r w:rsidR="00521087">
        <w:t>.</w:t>
      </w:r>
      <w:r>
        <w:rPr>
          <w:rStyle w:val="FootnoteReference"/>
        </w:rPr>
        <w:footnoteReference w:id="17"/>
      </w:r>
    </w:p>
    <w:p w:rsidR="004C05BC" w:rsidRPr="004C05BC" w:rsidP="00057513" w14:paraId="2CE422C1" w14:textId="792529DD">
      <w:pPr>
        <w:pStyle w:val="ListParagraph"/>
        <w:numPr>
          <w:ilvl w:val="1"/>
          <w:numId w:val="2"/>
        </w:numPr>
        <w:ind w:left="425" w:hanging="425"/>
        <w:jc w:val="both"/>
        <w:rPr>
          <w:color w:val="000000" w:themeColor="text1"/>
        </w:rPr>
      </w:pPr>
      <w:r w:rsidRPr="00A22ACC">
        <w:rPr>
          <w:color w:val="000000" w:themeColor="text1"/>
        </w:rPr>
        <w:t>Konvencijas Līgumslēdzēju pušu Parīzes vienošanās sanāksmes, kas notika 20</w:t>
      </w:r>
      <w:r>
        <w:rPr>
          <w:color w:val="000000" w:themeColor="text1"/>
        </w:rPr>
        <w:t>2</w:t>
      </w:r>
      <w:r w:rsidR="00F66FEA">
        <w:rPr>
          <w:color w:val="000000" w:themeColor="text1"/>
        </w:rPr>
        <w:t>1</w:t>
      </w:r>
      <w:r w:rsidRPr="00A22ACC">
        <w:rPr>
          <w:color w:val="000000" w:themeColor="text1"/>
        </w:rPr>
        <w:t xml:space="preserve">. gadā no </w:t>
      </w:r>
      <w:r w:rsidR="00F66FEA">
        <w:rPr>
          <w:color w:val="000000" w:themeColor="text1"/>
        </w:rPr>
        <w:t>31</w:t>
      </w:r>
      <w:r w:rsidRPr="00A22ACC">
        <w:rPr>
          <w:color w:val="000000" w:themeColor="text1"/>
        </w:rPr>
        <w:t>.</w:t>
      </w:r>
      <w:r w:rsidR="009D148B">
        <w:rPr>
          <w:color w:val="000000" w:themeColor="text1"/>
        </w:rPr>
        <w:t xml:space="preserve"> oktobra</w:t>
      </w:r>
      <w:r w:rsidRPr="00A22ACC">
        <w:rPr>
          <w:color w:val="000000" w:themeColor="text1"/>
        </w:rPr>
        <w:t xml:space="preserve"> līdz 1</w:t>
      </w:r>
      <w:r w:rsidR="009D148B">
        <w:rPr>
          <w:color w:val="000000" w:themeColor="text1"/>
        </w:rPr>
        <w:t>2</w:t>
      </w:r>
      <w:r w:rsidRPr="00A22ACC">
        <w:rPr>
          <w:color w:val="000000" w:themeColor="text1"/>
        </w:rPr>
        <w:t xml:space="preserve">. </w:t>
      </w:r>
      <w:r w:rsidR="009D148B">
        <w:rPr>
          <w:color w:val="000000" w:themeColor="text1"/>
        </w:rPr>
        <w:t>novembri</w:t>
      </w:r>
      <w:r w:rsidRPr="00A22ACC">
        <w:rPr>
          <w:color w:val="000000" w:themeColor="text1"/>
        </w:rPr>
        <w:t xml:space="preserve">m </w:t>
      </w:r>
      <w:r w:rsidR="002C08AD">
        <w:rPr>
          <w:color w:val="000000" w:themeColor="text1"/>
        </w:rPr>
        <w:t>Glāzgovā</w:t>
      </w:r>
      <w:r w:rsidRPr="00A22ACC">
        <w:rPr>
          <w:color w:val="000000" w:themeColor="text1"/>
        </w:rPr>
        <w:t xml:space="preserve">, lēmums </w:t>
      </w:r>
      <w:r w:rsidR="00DC6060">
        <w:rPr>
          <w:color w:val="000000" w:themeColor="text1"/>
        </w:rPr>
        <w:t>5</w:t>
      </w:r>
      <w:r w:rsidRPr="00A22ACC">
        <w:rPr>
          <w:color w:val="000000" w:themeColor="text1"/>
        </w:rPr>
        <w:t xml:space="preserve">/CMA.3 </w:t>
      </w:r>
      <w:r w:rsidR="002C08AD">
        <w:rPr>
          <w:color w:val="000000" w:themeColor="text1"/>
        </w:rPr>
        <w:t>(</w:t>
      </w:r>
      <w:r w:rsidRPr="00521087">
        <w:rPr>
          <w:i/>
          <w:iCs/>
          <w:color w:val="000000" w:themeColor="text1"/>
        </w:rPr>
        <w:t>Guidance</w:t>
      </w:r>
      <w:r w:rsidRPr="00521087">
        <w:rPr>
          <w:i/>
          <w:iCs/>
          <w:color w:val="000000" w:themeColor="text1"/>
        </w:rPr>
        <w:t xml:space="preserve"> </w:t>
      </w:r>
      <w:r w:rsidRPr="00521087">
        <w:rPr>
          <w:i/>
          <w:iCs/>
          <w:color w:val="000000" w:themeColor="text1"/>
        </w:rPr>
        <w:t>for</w:t>
      </w:r>
      <w:r w:rsidRPr="00521087">
        <w:rPr>
          <w:i/>
          <w:iCs/>
          <w:color w:val="000000" w:themeColor="text1"/>
        </w:rPr>
        <w:t xml:space="preserve"> </w:t>
      </w:r>
      <w:r w:rsidRPr="00521087">
        <w:rPr>
          <w:i/>
          <w:iCs/>
          <w:color w:val="000000" w:themeColor="text1"/>
        </w:rPr>
        <w:t>operationalizing</w:t>
      </w:r>
      <w:r w:rsidRPr="00521087">
        <w:rPr>
          <w:i/>
          <w:iCs/>
          <w:color w:val="000000" w:themeColor="text1"/>
        </w:rPr>
        <w:t xml:space="preserve"> </w:t>
      </w:r>
      <w:r w:rsidRPr="00521087">
        <w:rPr>
          <w:i/>
          <w:iCs/>
          <w:color w:val="000000" w:themeColor="text1"/>
        </w:rPr>
        <w:t>the</w:t>
      </w:r>
      <w:r w:rsidRPr="00521087">
        <w:rPr>
          <w:i/>
          <w:iCs/>
          <w:color w:val="000000" w:themeColor="text1"/>
        </w:rPr>
        <w:t xml:space="preserve"> </w:t>
      </w:r>
      <w:r w:rsidRPr="00521087">
        <w:rPr>
          <w:i/>
          <w:iCs/>
          <w:color w:val="000000" w:themeColor="text1"/>
        </w:rPr>
        <w:t>modalities</w:t>
      </w:r>
      <w:r w:rsidRPr="00521087">
        <w:rPr>
          <w:i/>
          <w:iCs/>
          <w:color w:val="000000" w:themeColor="text1"/>
        </w:rPr>
        <w:t xml:space="preserve">, </w:t>
      </w:r>
      <w:r w:rsidRPr="00521087">
        <w:rPr>
          <w:i/>
          <w:iCs/>
          <w:color w:val="000000" w:themeColor="text1"/>
        </w:rPr>
        <w:t>procedures</w:t>
      </w:r>
      <w:r w:rsidRPr="00521087">
        <w:rPr>
          <w:i/>
          <w:iCs/>
          <w:color w:val="000000" w:themeColor="text1"/>
        </w:rPr>
        <w:t xml:space="preserve"> </w:t>
      </w:r>
      <w:r w:rsidRPr="00521087">
        <w:rPr>
          <w:i/>
          <w:iCs/>
          <w:color w:val="000000" w:themeColor="text1"/>
        </w:rPr>
        <w:t>and</w:t>
      </w:r>
      <w:r w:rsidRPr="00521087">
        <w:rPr>
          <w:i/>
          <w:iCs/>
          <w:color w:val="000000" w:themeColor="text1"/>
        </w:rPr>
        <w:t xml:space="preserve"> </w:t>
      </w:r>
      <w:r w:rsidRPr="00521087">
        <w:rPr>
          <w:i/>
          <w:iCs/>
          <w:color w:val="000000" w:themeColor="text1"/>
        </w:rPr>
        <w:t>guidelines</w:t>
      </w:r>
      <w:r w:rsidRPr="00521087">
        <w:rPr>
          <w:i/>
          <w:iCs/>
          <w:color w:val="000000" w:themeColor="text1"/>
        </w:rPr>
        <w:t xml:space="preserve"> </w:t>
      </w:r>
      <w:r w:rsidRPr="00521087">
        <w:rPr>
          <w:i/>
          <w:iCs/>
          <w:color w:val="000000" w:themeColor="text1"/>
        </w:rPr>
        <w:t>for</w:t>
      </w:r>
      <w:r w:rsidRPr="00521087">
        <w:rPr>
          <w:i/>
          <w:iCs/>
          <w:color w:val="000000" w:themeColor="text1"/>
        </w:rPr>
        <w:t xml:space="preserve"> </w:t>
      </w:r>
      <w:r w:rsidRPr="00521087">
        <w:rPr>
          <w:i/>
          <w:iCs/>
          <w:color w:val="000000" w:themeColor="text1"/>
        </w:rPr>
        <w:t>the</w:t>
      </w:r>
      <w:r w:rsidRPr="00521087">
        <w:rPr>
          <w:i/>
          <w:iCs/>
          <w:color w:val="000000" w:themeColor="text1"/>
        </w:rPr>
        <w:t xml:space="preserve"> </w:t>
      </w:r>
      <w:r w:rsidRPr="00521087">
        <w:rPr>
          <w:i/>
          <w:iCs/>
          <w:color w:val="000000" w:themeColor="text1"/>
        </w:rPr>
        <w:t>enhanced</w:t>
      </w:r>
      <w:r w:rsidRPr="00521087">
        <w:rPr>
          <w:i/>
          <w:iCs/>
          <w:color w:val="000000" w:themeColor="text1"/>
        </w:rPr>
        <w:t xml:space="preserve"> </w:t>
      </w:r>
      <w:r w:rsidRPr="00521087">
        <w:rPr>
          <w:i/>
          <w:iCs/>
          <w:color w:val="000000" w:themeColor="text1"/>
        </w:rPr>
        <w:t>transparency</w:t>
      </w:r>
      <w:r w:rsidRPr="00521087">
        <w:rPr>
          <w:i/>
          <w:iCs/>
          <w:color w:val="000000" w:themeColor="text1"/>
        </w:rPr>
        <w:t xml:space="preserve"> </w:t>
      </w:r>
      <w:r w:rsidRPr="00521087">
        <w:rPr>
          <w:i/>
          <w:iCs/>
          <w:color w:val="000000" w:themeColor="text1"/>
        </w:rPr>
        <w:t>framework</w:t>
      </w:r>
      <w:r w:rsidRPr="00521087">
        <w:rPr>
          <w:i/>
          <w:iCs/>
          <w:color w:val="000000" w:themeColor="text1"/>
        </w:rPr>
        <w:t xml:space="preserve"> </w:t>
      </w:r>
      <w:r w:rsidRPr="00521087">
        <w:rPr>
          <w:i/>
          <w:iCs/>
          <w:color w:val="000000" w:themeColor="text1"/>
        </w:rPr>
        <w:t>referred</w:t>
      </w:r>
      <w:r w:rsidRPr="00521087">
        <w:rPr>
          <w:i/>
          <w:iCs/>
          <w:color w:val="000000" w:themeColor="text1"/>
        </w:rPr>
        <w:t xml:space="preserve"> to </w:t>
      </w:r>
      <w:r w:rsidRPr="00521087">
        <w:rPr>
          <w:i/>
          <w:iCs/>
          <w:color w:val="000000" w:themeColor="text1"/>
        </w:rPr>
        <w:t>in</w:t>
      </w:r>
      <w:r w:rsidRPr="00521087">
        <w:rPr>
          <w:i/>
          <w:iCs/>
          <w:color w:val="000000" w:themeColor="text1"/>
        </w:rPr>
        <w:t xml:space="preserve"> </w:t>
      </w:r>
      <w:r w:rsidRPr="00521087">
        <w:rPr>
          <w:i/>
          <w:iCs/>
          <w:color w:val="000000" w:themeColor="text1"/>
        </w:rPr>
        <w:t>Article</w:t>
      </w:r>
      <w:r w:rsidRPr="00521087">
        <w:rPr>
          <w:i/>
          <w:iCs/>
          <w:color w:val="000000" w:themeColor="text1"/>
        </w:rPr>
        <w:t xml:space="preserve"> 13 </w:t>
      </w:r>
      <w:r w:rsidRPr="00521087">
        <w:rPr>
          <w:i/>
          <w:iCs/>
          <w:color w:val="000000" w:themeColor="text1"/>
        </w:rPr>
        <w:t>of</w:t>
      </w:r>
      <w:r w:rsidRPr="00521087">
        <w:rPr>
          <w:i/>
          <w:iCs/>
          <w:color w:val="000000" w:themeColor="text1"/>
        </w:rPr>
        <w:t xml:space="preserve"> </w:t>
      </w:r>
      <w:r w:rsidRPr="00521087">
        <w:rPr>
          <w:i/>
          <w:iCs/>
          <w:color w:val="000000" w:themeColor="text1"/>
        </w:rPr>
        <w:t>the</w:t>
      </w:r>
      <w:r w:rsidRPr="00521087">
        <w:rPr>
          <w:i/>
          <w:iCs/>
          <w:color w:val="000000" w:themeColor="text1"/>
        </w:rPr>
        <w:t xml:space="preserve"> Paris </w:t>
      </w:r>
      <w:r w:rsidRPr="00521087">
        <w:rPr>
          <w:i/>
          <w:iCs/>
          <w:color w:val="000000" w:themeColor="text1"/>
        </w:rPr>
        <w:t>Agreement</w:t>
      </w:r>
      <w:r w:rsidRPr="00521087">
        <w:rPr>
          <w:i/>
          <w:iCs/>
          <w:color w:val="000000" w:themeColor="text1"/>
        </w:rPr>
        <w:t xml:space="preserve">. </w:t>
      </w:r>
      <w:r w:rsidRPr="00521087">
        <w:rPr>
          <w:i/>
          <w:iCs/>
          <w:color w:val="000000" w:themeColor="text1"/>
        </w:rPr>
        <w:t>Proposal</w:t>
      </w:r>
      <w:r w:rsidRPr="00521087">
        <w:rPr>
          <w:i/>
          <w:iCs/>
          <w:color w:val="000000" w:themeColor="text1"/>
        </w:rPr>
        <w:t xml:space="preserve"> </w:t>
      </w:r>
      <w:r w:rsidRPr="00521087">
        <w:rPr>
          <w:i/>
          <w:iCs/>
          <w:color w:val="000000" w:themeColor="text1"/>
        </w:rPr>
        <w:t>by</w:t>
      </w:r>
      <w:r w:rsidRPr="00521087">
        <w:rPr>
          <w:i/>
          <w:iCs/>
          <w:color w:val="000000" w:themeColor="text1"/>
        </w:rPr>
        <w:t xml:space="preserve"> </w:t>
      </w:r>
      <w:r w:rsidRPr="00521087">
        <w:rPr>
          <w:i/>
          <w:iCs/>
          <w:color w:val="000000" w:themeColor="text1"/>
        </w:rPr>
        <w:t>the</w:t>
      </w:r>
      <w:r w:rsidRPr="00521087">
        <w:rPr>
          <w:i/>
          <w:iCs/>
          <w:color w:val="000000" w:themeColor="text1"/>
        </w:rPr>
        <w:t xml:space="preserve"> </w:t>
      </w:r>
      <w:r w:rsidRPr="00521087">
        <w:rPr>
          <w:i/>
          <w:iCs/>
          <w:color w:val="000000" w:themeColor="text1"/>
        </w:rPr>
        <w:t>President</w:t>
      </w:r>
      <w:r w:rsidR="002C08AD">
        <w:rPr>
          <w:color w:val="000000" w:themeColor="text1"/>
        </w:rPr>
        <w:t>)</w:t>
      </w:r>
      <w:r>
        <w:rPr>
          <w:rStyle w:val="FootnoteReference"/>
          <w:color w:val="000000" w:themeColor="text1"/>
        </w:rPr>
        <w:footnoteReference w:id="18"/>
      </w:r>
      <w:r w:rsidR="00521087">
        <w:rPr>
          <w:color w:val="000000" w:themeColor="text1"/>
        </w:rPr>
        <w:t>.</w:t>
      </w:r>
    </w:p>
    <w:p w:rsidR="00F35155" w:rsidP="00CD0A06" w14:paraId="4E97B6BE" w14:textId="77777777">
      <w:pPr>
        <w:ind w:left="425" w:hanging="425"/>
        <w:jc w:val="both"/>
      </w:pPr>
    </w:p>
    <w:p w:rsidR="00E565F0" w:rsidRPr="00C95BF3" w:rsidP="00E565F0" w14:paraId="747912E6" w14:textId="77777777">
      <w:pPr>
        <w:pStyle w:val="ListParagraph"/>
        <w:numPr>
          <w:ilvl w:val="0"/>
          <w:numId w:val="1"/>
        </w:numPr>
        <w:tabs>
          <w:tab w:val="left" w:pos="426"/>
        </w:tabs>
        <w:ind w:left="425" w:hanging="425"/>
        <w:rPr>
          <w:b/>
          <w:bCs/>
          <w:lang w:val="cs-CZ"/>
        </w:rPr>
      </w:pPr>
      <w:r w:rsidRPr="00C95BF3">
        <w:rPr>
          <w:b/>
          <w:bCs/>
        </w:rPr>
        <w:t> </w:t>
      </w:r>
      <w:r w:rsidRPr="00C95BF3">
        <w:rPr>
          <w:b/>
          <w:bCs/>
          <w:lang w:val="cs-CZ"/>
        </w:rPr>
        <w:t>Eiropas Savienības tiesību akti</w:t>
      </w:r>
      <w:r w:rsidRPr="00C95BF3" w:rsidR="00224563">
        <w:rPr>
          <w:b/>
          <w:bCs/>
          <w:lang w:val="cs-CZ"/>
        </w:rPr>
        <w:t>:</w:t>
      </w:r>
    </w:p>
    <w:p w:rsidR="00CD0A06" w:rsidRPr="00E565F0" w:rsidP="007E6A0A" w14:paraId="16104577" w14:textId="055D68BA">
      <w:pPr>
        <w:tabs>
          <w:tab w:val="left" w:pos="426"/>
        </w:tabs>
        <w:ind w:left="425" w:hanging="425"/>
        <w:jc w:val="both"/>
        <w:rPr>
          <w:lang w:val="cs-CZ"/>
        </w:rPr>
      </w:pPr>
      <w:r w:rsidRPr="00E565F0">
        <w:rPr>
          <w:color w:val="000000" w:themeColor="text1"/>
        </w:rPr>
        <w:t>2.1. </w:t>
      </w:r>
      <w:r w:rsidRPr="00C95BF3" w:rsidR="00A641DC">
        <w:rPr>
          <w:lang w:val="cs-CZ"/>
        </w:rPr>
        <w:t>2013. gada 31. oktobra Komisijas Īstenošanas lēmums par dalībvalstu ikgadējo emisiju sadales apjomu korekcijām laikposmam no 2013. līdz 2020. gadam saskaņā ar Eiropas Parlamenta un Padomes Lēmumu Nr. 406/2009/EK</w:t>
      </w:r>
      <w:r w:rsidR="00521087">
        <w:rPr>
          <w:lang w:val="cs-CZ"/>
        </w:rPr>
        <w:t>.</w:t>
      </w:r>
    </w:p>
    <w:p w:rsidR="00CD0A06" w:rsidP="007E6A0A" w14:paraId="3D795827" w14:textId="3A17F48A">
      <w:pPr>
        <w:tabs>
          <w:tab w:val="left" w:pos="426"/>
        </w:tabs>
        <w:ind w:left="425" w:hanging="425"/>
        <w:jc w:val="both"/>
        <w:rPr>
          <w:lang w:val="cs-CZ"/>
        </w:rPr>
      </w:pPr>
      <w:r w:rsidRPr="00CD0A06">
        <w:rPr>
          <w:lang w:val="cs-CZ"/>
        </w:rPr>
        <w:t>2.2. </w:t>
      </w:r>
      <w:r w:rsidRPr="00A641DC" w:rsidR="00A641DC">
        <w:rPr>
          <w:lang w:val="cs-CZ"/>
        </w:rPr>
        <w:t>2017.gada 10.augusta Eiropas Komisijas lēmums Nr.2017/1471, ar ko Lēmumu 2013/162/ES groza, lai pārskatītu dalībvalstu ikgadējo emisiju sadales apjomu laikposmam no 2017. līdz 2020. gadam</w:t>
      </w:r>
      <w:r w:rsidR="00521087">
        <w:rPr>
          <w:lang w:val="cs-CZ"/>
        </w:rPr>
        <w:t>.</w:t>
      </w:r>
    </w:p>
    <w:p w:rsidR="00A641DC" w:rsidRPr="00C95BF3" w:rsidP="00F036A8" w14:paraId="5A051126" w14:textId="43C8DA0A">
      <w:pPr>
        <w:tabs>
          <w:tab w:val="left" w:pos="426"/>
        </w:tabs>
        <w:ind w:left="425" w:hanging="425"/>
        <w:jc w:val="both"/>
        <w:rPr>
          <w:lang w:val="cs-CZ"/>
        </w:rPr>
      </w:pPr>
      <w:r>
        <w:rPr>
          <w:lang w:val="cs-CZ"/>
        </w:rPr>
        <w:t>2.3.</w:t>
      </w:r>
      <w:r w:rsidRPr="00C95BF3">
        <w:rPr>
          <w:lang w:val="cs-CZ"/>
        </w:rPr>
        <w:t xml:space="preserve"> </w:t>
      </w:r>
      <w:r w:rsidRPr="00C95BF3">
        <w:rPr>
          <w:lang w:val="cs-CZ"/>
        </w:rPr>
        <w:t xml:space="preserve">2018. gada 30. maija Eiropas Parlamenta un Padomes Regula (ES) 2018/842  par saistošiem ikgadējiem siltumnīcefekta gāzu emisiju samazinājumiem, kas dalībvalstīm jāpanāk no 2021. </w:t>
      </w:r>
      <w:r w:rsidRPr="00C95BF3">
        <w:rPr>
          <w:lang w:val="cs-CZ"/>
        </w:rPr>
        <w:t>līdz 2030. gadam un kas dod ieguldījumu rīcībā klimata politikas jomā, lai izpildītu Parīzes nolīgumā paredzētās saistības, un ar ko groza Regulu (ES) Nr. 525/2013</w:t>
      </w:r>
      <w:r w:rsidR="00521087">
        <w:rPr>
          <w:lang w:val="cs-CZ"/>
        </w:rPr>
        <w:t>.</w:t>
      </w:r>
    </w:p>
    <w:p w:rsidR="009E7D08" w:rsidP="00A85767" w14:paraId="3DF4E2D6" w14:textId="0236EB89">
      <w:pPr>
        <w:tabs>
          <w:tab w:val="left" w:pos="426"/>
        </w:tabs>
        <w:ind w:left="425" w:hanging="425"/>
        <w:jc w:val="both"/>
        <w:rPr>
          <w:lang w:val="cs-CZ"/>
        </w:rPr>
      </w:pPr>
      <w:r>
        <w:rPr>
          <w:lang w:val="cs-CZ"/>
        </w:rPr>
        <w:t>2</w:t>
      </w:r>
      <w:r w:rsidRPr="00F036A8">
        <w:rPr>
          <w:lang w:val="cs-CZ"/>
        </w:rPr>
        <w:t>.</w:t>
      </w:r>
      <w:r w:rsidRPr="00C95BF3">
        <w:rPr>
          <w:lang w:val="cs-CZ"/>
        </w:rPr>
        <w:t xml:space="preserve">4. </w:t>
      </w:r>
      <w:r w:rsidRPr="00C95BF3" w:rsidR="00A641DC">
        <w:rPr>
          <w:lang w:val="cs-CZ"/>
        </w:rPr>
        <w:t>2018. gada 30. maija Eiropas Parlamenta un Padomes Regula (ES) 2018/841 par zemes izmantošanā, zemes izmantošanas maiņā un mežsaimniecībā radušos siltumnīcefekta gāzu emisiju un piesaistes iekļaušanu klimata un enerģētikas politikas satvarā laikposmam līdz 2030. gadam un ar ko groza Regulu (ES) Nr. 525/2013 un Lēmumu Nr. 529/2013/ES</w:t>
      </w:r>
      <w:r w:rsidR="00A85767">
        <w:rPr>
          <w:lang w:val="cs-CZ"/>
        </w:rPr>
        <w:t>.</w:t>
      </w:r>
    </w:p>
    <w:p w:rsidR="0015424E" w:rsidP="007E6A0A" w14:paraId="77BC15AE" w14:textId="05B787B0">
      <w:pPr>
        <w:tabs>
          <w:tab w:val="left" w:pos="426"/>
        </w:tabs>
        <w:ind w:left="425" w:hanging="425"/>
        <w:jc w:val="both"/>
        <w:rPr>
          <w:lang w:val="cs-CZ"/>
        </w:rPr>
      </w:pPr>
      <w:r>
        <w:rPr>
          <w:lang w:val="cs-CZ"/>
        </w:rPr>
        <w:t>2.</w:t>
      </w:r>
      <w:r w:rsidR="00A85767">
        <w:rPr>
          <w:lang w:val="cs-CZ"/>
        </w:rPr>
        <w:t>5</w:t>
      </w:r>
      <w:r>
        <w:rPr>
          <w:lang w:val="cs-CZ"/>
        </w:rPr>
        <w:t xml:space="preserve">. </w:t>
      </w:r>
      <w:r w:rsidRPr="0015424E" w:rsidR="00934D42">
        <w:rPr>
          <w:lang w:val="cs-CZ"/>
        </w:rPr>
        <w:t>2018. gada 11. decembr</w:t>
      </w:r>
      <w:r w:rsidR="00934D42">
        <w:rPr>
          <w:lang w:val="cs-CZ"/>
        </w:rPr>
        <w:t>a</w:t>
      </w:r>
      <w:r w:rsidRPr="0015424E" w:rsidR="00934D42">
        <w:rPr>
          <w:lang w:val="cs-CZ"/>
        </w:rPr>
        <w:t xml:space="preserve"> </w:t>
      </w:r>
      <w:r w:rsidRPr="0015424E">
        <w:rPr>
          <w:lang w:val="cs-CZ"/>
        </w:rPr>
        <w:t>Eiropas Parlamenta un Padomes Regula (ES) 2018/1999 par enerģētikas savienības un rīcības klimata politikas jomā pārvaldību un ar ko groza Eiropas Parlamenta un Padomes Regulas (EK) Nr. 663/2009 un (EK) Nr. 715/2009, Eiropas Parlamenta un Padomes Direktīvas 94/22/EK, 98/70/EK, 2009/31/EK, 2009/73/EK, 2010/31/ES, 2012/27/ES un 2013/30/ES, Padomes Direktīvas 2009/119/EK un (ES) 2015/652 un atceļ Eiropas Parlamenta un Padomes Regulu (ES) Nr. 525/2013</w:t>
      </w:r>
      <w:r>
        <w:rPr>
          <w:lang w:val="cs-CZ"/>
        </w:rPr>
        <w:t>.</w:t>
      </w:r>
    </w:p>
    <w:p w:rsidR="006114AB" w:rsidP="007E6A0A" w14:paraId="7F4B2096" w14:textId="298A22E3">
      <w:pPr>
        <w:tabs>
          <w:tab w:val="left" w:pos="426"/>
        </w:tabs>
        <w:ind w:left="425" w:hanging="425"/>
        <w:jc w:val="both"/>
        <w:rPr>
          <w:lang w:val="cs-CZ"/>
        </w:rPr>
      </w:pPr>
      <w:r>
        <w:rPr>
          <w:lang w:val="cs-CZ"/>
        </w:rPr>
        <w:t>2.</w:t>
      </w:r>
      <w:r w:rsidR="00A85767">
        <w:rPr>
          <w:lang w:val="cs-CZ"/>
        </w:rPr>
        <w:t>6</w:t>
      </w:r>
      <w:r>
        <w:rPr>
          <w:lang w:val="cs-CZ"/>
        </w:rPr>
        <w:t>.</w:t>
      </w:r>
      <w:r w:rsidRPr="006114AB">
        <w:t xml:space="preserve"> </w:t>
      </w:r>
      <w:r>
        <w:rPr>
          <w:lang w:val="cs-CZ"/>
        </w:rPr>
        <w:t>2020. gada 7. augusta</w:t>
      </w:r>
      <w:r w:rsidRPr="006114AB">
        <w:rPr>
          <w:lang w:val="cs-CZ"/>
        </w:rPr>
        <w:t xml:space="preserve"> </w:t>
      </w:r>
      <w:r w:rsidRPr="006114AB" w:rsidR="00934D42">
        <w:rPr>
          <w:lang w:val="cs-CZ"/>
        </w:rPr>
        <w:t xml:space="preserve">Komisijas </w:t>
      </w:r>
      <w:r w:rsidRPr="006114AB">
        <w:rPr>
          <w:lang w:val="cs-CZ"/>
        </w:rPr>
        <w:t>Īst</w:t>
      </w:r>
      <w:r>
        <w:rPr>
          <w:lang w:val="cs-CZ"/>
        </w:rPr>
        <w:t>enošanas regula (ES) 2020/1208</w:t>
      </w:r>
      <w:r w:rsidRPr="006114AB">
        <w:rPr>
          <w:lang w:val="cs-CZ"/>
        </w:rPr>
        <w:t>, par tās informācijas struktūru, formātu, iesniegšanas procedūrām un izskatīšanu, kuru dalībvalstis ziņo saskaņā ar Eiropas Parlamenta un Padomes Regulu (ES) 2018/1999, un ar ko atceļ Komisijas Īstenošanas regulu (ES) Nr. 749/2014</w:t>
      </w:r>
      <w:r>
        <w:rPr>
          <w:rStyle w:val="FootnoteReference"/>
          <w:lang w:val="cs-CZ"/>
        </w:rPr>
        <w:footnoteReference w:id="19"/>
      </w:r>
      <w:r w:rsidR="00521087">
        <w:rPr>
          <w:lang w:val="cs-CZ"/>
        </w:rPr>
        <w:t>.</w:t>
      </w:r>
    </w:p>
    <w:p w:rsidR="00574A82" w:rsidP="00C95BF3" w14:paraId="25731D08" w14:textId="5D142339">
      <w:pPr>
        <w:tabs>
          <w:tab w:val="left" w:pos="426"/>
        </w:tabs>
        <w:ind w:left="425" w:hanging="425"/>
        <w:jc w:val="both"/>
        <w:rPr>
          <w:lang w:val="cs-CZ"/>
        </w:rPr>
      </w:pPr>
      <w:r>
        <w:rPr>
          <w:lang w:val="cs-CZ"/>
        </w:rPr>
        <w:t>2.</w:t>
      </w:r>
      <w:r w:rsidR="00A85767">
        <w:rPr>
          <w:lang w:val="cs-CZ"/>
        </w:rPr>
        <w:t>7</w:t>
      </w:r>
      <w:r>
        <w:rPr>
          <w:lang w:val="cs-CZ"/>
        </w:rPr>
        <w:t xml:space="preserve">. </w:t>
      </w:r>
      <w:r w:rsidRPr="00C95BF3">
        <w:rPr>
          <w:lang w:val="cs-CZ"/>
        </w:rPr>
        <w:t xml:space="preserve">2020. gada 16. decembra </w:t>
      </w:r>
      <w:r w:rsidR="00521087">
        <w:rPr>
          <w:lang w:val="cs-CZ"/>
        </w:rPr>
        <w:t>Komisijas īstenošanas lēmums</w:t>
      </w:r>
      <w:r w:rsidRPr="00C95BF3">
        <w:rPr>
          <w:lang w:val="cs-CZ"/>
        </w:rPr>
        <w:t xml:space="preserve"> (ES) 2020/2126 par dalībvalstu ikgadējo emisiju sadales apjomu noteikšanu 2021.–2030. gada periodam saskaņā ar Eiropas Parlamenta un Padomes Regulu (ES) 2018/842</w:t>
      </w:r>
      <w:r>
        <w:rPr>
          <w:rStyle w:val="FootnoteReference"/>
          <w:lang w:val="cs-CZ"/>
        </w:rPr>
        <w:footnoteReference w:id="20"/>
      </w:r>
      <w:r w:rsidR="00E72DC8">
        <w:rPr>
          <w:lang w:val="cs-CZ"/>
        </w:rPr>
        <w:t>.</w:t>
      </w:r>
    </w:p>
    <w:p w:rsidR="00E72DC8" w:rsidP="00C95BF3" w14:paraId="17486345" w14:textId="0FC3408C">
      <w:pPr>
        <w:tabs>
          <w:tab w:val="left" w:pos="426"/>
        </w:tabs>
        <w:ind w:left="425" w:hanging="425"/>
        <w:jc w:val="both"/>
        <w:rPr>
          <w:lang w:val="cs-CZ"/>
        </w:rPr>
      </w:pPr>
      <w:r>
        <w:rPr>
          <w:lang w:val="cs-CZ"/>
        </w:rPr>
        <w:t>2.</w:t>
      </w:r>
      <w:r w:rsidR="00A85767">
        <w:rPr>
          <w:lang w:val="cs-CZ"/>
        </w:rPr>
        <w:t>8</w:t>
      </w:r>
      <w:r>
        <w:rPr>
          <w:lang w:val="cs-CZ"/>
        </w:rPr>
        <w:t xml:space="preserve">. </w:t>
      </w:r>
      <w:r w:rsidRPr="006D2882" w:rsidR="006D2882">
        <w:rPr>
          <w:lang w:val="cs-CZ"/>
        </w:rPr>
        <w:t>2020. gada 8. maij</w:t>
      </w:r>
      <w:r w:rsidR="006D2882">
        <w:rPr>
          <w:lang w:val="cs-CZ"/>
        </w:rPr>
        <w:t>a</w:t>
      </w:r>
      <w:r w:rsidRPr="006D2882" w:rsidR="006D2882">
        <w:rPr>
          <w:lang w:val="cs-CZ"/>
        </w:rPr>
        <w:t xml:space="preserve"> Komisijas Deleģētā regula (ES) 2020/1044, ar ko Eiropas Parlamenta un Padomes Regulu (ES) 2018/1999 papildina attiecībā uz globālās sasilšanas potenciāla vērtībām un inventarizācijas vadlīnijām un attiecībā uz Savienības inventarizācijas sistēmu un atceļ Komisijas Deleģēto regulu (ES) Nr. 666/2014</w:t>
      </w:r>
      <w:r>
        <w:rPr>
          <w:rStyle w:val="FootnoteReference"/>
          <w:lang w:val="cs-CZ"/>
        </w:rPr>
        <w:footnoteReference w:id="21"/>
      </w:r>
      <w:r w:rsidR="00B56ACB">
        <w:rPr>
          <w:lang w:val="cs-CZ"/>
        </w:rPr>
        <w:t>.</w:t>
      </w:r>
    </w:p>
    <w:p w:rsidR="00E72DC8" w:rsidRPr="00031D89" w:rsidP="00C95BF3" w14:paraId="7EBF224F" w14:textId="77777777">
      <w:pPr>
        <w:tabs>
          <w:tab w:val="left" w:pos="426"/>
        </w:tabs>
        <w:ind w:left="425" w:hanging="425"/>
        <w:jc w:val="both"/>
        <w:rPr>
          <w:lang w:val="cs-CZ"/>
        </w:rPr>
      </w:pPr>
    </w:p>
    <w:p w:rsidR="00224563" w:rsidRPr="00C95BF3" w:rsidP="00644DED" w14:paraId="0E02ACA9" w14:textId="03965ECB">
      <w:pPr>
        <w:jc w:val="both"/>
        <w:rPr>
          <w:b/>
          <w:bCs/>
        </w:rPr>
      </w:pPr>
      <w:r w:rsidRPr="00C95BF3">
        <w:rPr>
          <w:b/>
          <w:bCs/>
        </w:rPr>
        <w:t>3. </w:t>
      </w:r>
      <w:r w:rsidRPr="00C95BF3" w:rsidR="00375B6C">
        <w:rPr>
          <w:b/>
          <w:bCs/>
        </w:rPr>
        <w:t xml:space="preserve">Latvijas Republikas tiesību akti: </w:t>
      </w:r>
    </w:p>
    <w:p w:rsidR="00375B6C" w:rsidRPr="00934D42" w:rsidP="00644DED" w14:paraId="03DE4AB8" w14:textId="41F40516">
      <w:r>
        <w:t xml:space="preserve">  </w:t>
      </w:r>
      <w:r w:rsidR="00224563">
        <w:t>3.1.</w:t>
      </w:r>
      <w:r>
        <w:t>L</w:t>
      </w:r>
      <w:r w:rsidRPr="00A0729E">
        <w:t>ikumi:</w:t>
      </w:r>
      <w:r w:rsidR="00934D42">
        <w:t xml:space="preserve">  L</w:t>
      </w:r>
      <w:r w:rsidRPr="006B7B67" w:rsidR="0044601C">
        <w:t xml:space="preserve">ikums </w:t>
      </w:r>
      <w:r w:rsidR="00934D42">
        <w:t>“</w:t>
      </w:r>
      <w:r w:rsidRPr="006B7B67" w:rsidR="0044601C">
        <w:t>Par piesārņojumu”</w:t>
      </w:r>
      <w:r w:rsidR="00031D89">
        <w:t>.</w:t>
      </w:r>
    </w:p>
    <w:p w:rsidR="00375B6C" w:rsidRPr="00224563" w:rsidP="00224563" w14:paraId="01E5269A" w14:textId="1483217A">
      <w:pPr>
        <w:pStyle w:val="ListParagraph"/>
        <w:numPr>
          <w:ilvl w:val="1"/>
          <w:numId w:val="3"/>
        </w:numPr>
        <w:rPr>
          <w:color w:val="000000" w:themeColor="text1"/>
        </w:rPr>
      </w:pPr>
      <w:r w:rsidRPr="00224563">
        <w:rPr>
          <w:color w:val="000000" w:themeColor="text1"/>
        </w:rPr>
        <w:t xml:space="preserve"> Ministru kabineta noteikumi:</w:t>
      </w:r>
    </w:p>
    <w:p w:rsidR="0044601C" w:rsidRPr="00416F25" w:rsidP="007E6A0A" w14:paraId="5D769206" w14:textId="30FEF4E5">
      <w:pPr>
        <w:pStyle w:val="ListParagraph"/>
        <w:numPr>
          <w:ilvl w:val="2"/>
          <w:numId w:val="3"/>
        </w:numPr>
        <w:jc w:val="both"/>
      </w:pPr>
      <w:r w:rsidRPr="006B7B67">
        <w:rPr>
          <w:snapToGrid w:val="0"/>
        </w:rPr>
        <w:t>M</w:t>
      </w:r>
      <w:r w:rsidR="00F35155">
        <w:rPr>
          <w:snapToGrid w:val="0"/>
        </w:rPr>
        <w:t xml:space="preserve">inistru kabineta </w:t>
      </w:r>
      <w:r w:rsidRPr="00361EEE" w:rsidR="00361EEE">
        <w:rPr>
          <w:snapToGrid w:val="0"/>
        </w:rPr>
        <w:t xml:space="preserve">2022. gada 25. oktobra noteikumu Nr. 675 </w:t>
      </w:r>
      <w:r w:rsidR="00934D42">
        <w:rPr>
          <w:snapToGrid w:val="0"/>
        </w:rPr>
        <w:t>“</w:t>
      </w:r>
      <w:r w:rsidRPr="00361EEE" w:rsidR="00361EEE">
        <w:rPr>
          <w:snapToGrid w:val="0"/>
        </w:rPr>
        <w:t>Siltumnīcefekta gāzu inventarizācijas sistēmas, prognožu sistēmas un sistēmas ziņošanai par pielāgošanos klimata pārmaiņām izveidošanas un uzturēšanas kārtība”</w:t>
      </w:r>
      <w:r w:rsidR="00031D89">
        <w:t>;</w:t>
      </w:r>
    </w:p>
    <w:p w:rsidR="00172910" w:rsidP="007E6A0A" w14:paraId="77819FBE" w14:textId="7AA0ECB7">
      <w:pPr>
        <w:pStyle w:val="ListParagraph"/>
        <w:numPr>
          <w:ilvl w:val="2"/>
          <w:numId w:val="3"/>
        </w:numPr>
        <w:jc w:val="both"/>
      </w:pPr>
      <w:r w:rsidRPr="004B084E">
        <w:rPr>
          <w:snapToGrid w:val="0"/>
        </w:rPr>
        <w:t>Ministru kabineta 2018. gada 2. oktobra noteikumi Nr. 614 “Kopējo gaisu piesārņojošo vielu emisiju samazināšanas un uzskaites noteikumi”</w:t>
      </w:r>
      <w:r w:rsidR="00031D89">
        <w:t>.</w:t>
      </w:r>
    </w:p>
    <w:p w:rsidR="0063639F" w:rsidRPr="00A0729E" w:rsidP="007E6A0A" w14:paraId="597ED10A" w14:textId="77777777">
      <w:pPr>
        <w:pStyle w:val="ListParagraph"/>
        <w:numPr>
          <w:ilvl w:val="1"/>
          <w:numId w:val="3"/>
        </w:numPr>
        <w:jc w:val="both"/>
      </w:pPr>
      <w:r>
        <w:t>Attīstības</w:t>
      </w:r>
      <w:r w:rsidRPr="00A0729E">
        <w:t xml:space="preserve"> plānošanas dokumenti:</w:t>
      </w:r>
    </w:p>
    <w:p w:rsidR="0063639F" w:rsidP="007E6A0A" w14:paraId="67EB3947" w14:textId="1AD0682D">
      <w:pPr>
        <w:pStyle w:val="ListParagraph"/>
        <w:numPr>
          <w:ilvl w:val="2"/>
          <w:numId w:val="3"/>
        </w:numPr>
        <w:jc w:val="both"/>
        <w:rPr>
          <w:color w:val="000000" w:themeColor="text1"/>
        </w:rPr>
      </w:pPr>
      <w:r w:rsidRPr="00A0729E">
        <w:t>Latvijas nacionālais attīstības plāns 20</w:t>
      </w:r>
      <w:r>
        <w:t>21</w:t>
      </w:r>
      <w:r w:rsidRPr="00A0729E">
        <w:t>.</w:t>
      </w:r>
      <w:r>
        <w:t xml:space="preserve"> </w:t>
      </w:r>
      <w:r w:rsidRPr="00A0729E">
        <w:t>-</w:t>
      </w:r>
      <w:r>
        <w:t xml:space="preserve"> </w:t>
      </w:r>
      <w:r w:rsidRPr="00A0729E">
        <w:t>20</w:t>
      </w:r>
      <w:r>
        <w:t>27</w:t>
      </w:r>
      <w:r w:rsidRPr="00A0729E">
        <w:t>.</w:t>
      </w:r>
      <w:r>
        <w:t> gadam</w:t>
      </w:r>
      <w:r>
        <w:rPr>
          <w:rStyle w:val="FootnoteReference"/>
        </w:rPr>
        <w:footnoteReference w:id="22"/>
      </w:r>
      <w:r>
        <w:t xml:space="preserve">; </w:t>
      </w:r>
      <w:r w:rsidRPr="00DD2E65">
        <w:rPr>
          <w:color w:val="000000"/>
        </w:rPr>
        <w:t>Vides politikas pamatnostādnes 20</w:t>
      </w:r>
      <w:r>
        <w:rPr>
          <w:color w:val="000000"/>
        </w:rPr>
        <w:t>21.–2027. gadam</w:t>
      </w:r>
      <w:r>
        <w:rPr>
          <w:rStyle w:val="FootnoteReference"/>
          <w:color w:val="000000"/>
        </w:rPr>
        <w:footnoteReference w:id="23"/>
      </w:r>
      <w:r w:rsidR="00521087">
        <w:rPr>
          <w:color w:val="000000" w:themeColor="text1"/>
        </w:rPr>
        <w:t>;</w:t>
      </w:r>
    </w:p>
    <w:p w:rsidR="007E5008" w:rsidP="007E6A0A" w14:paraId="5EEB812F" w14:textId="664316C9">
      <w:pPr>
        <w:pStyle w:val="ListParagraph"/>
        <w:numPr>
          <w:ilvl w:val="2"/>
          <w:numId w:val="3"/>
        </w:numPr>
        <w:jc w:val="both"/>
        <w:rPr>
          <w:color w:val="000000" w:themeColor="text1"/>
        </w:rPr>
      </w:pPr>
      <w:r w:rsidRPr="006E3E1B">
        <w:rPr>
          <w:color w:val="000000" w:themeColor="text1"/>
        </w:rPr>
        <w:t>Latvijas stratēģij</w:t>
      </w:r>
      <w:r w:rsidR="00E266EB">
        <w:rPr>
          <w:color w:val="000000" w:themeColor="text1"/>
        </w:rPr>
        <w:t>a</w:t>
      </w:r>
      <w:r w:rsidRPr="006E3E1B">
        <w:rPr>
          <w:color w:val="000000" w:themeColor="text1"/>
        </w:rPr>
        <w:t xml:space="preserve"> </w:t>
      </w:r>
      <w:r w:rsidRPr="006E3E1B">
        <w:rPr>
          <w:color w:val="000000" w:themeColor="text1"/>
        </w:rPr>
        <w:t>klimatneitralitātes</w:t>
      </w:r>
      <w:r w:rsidRPr="006E3E1B">
        <w:rPr>
          <w:color w:val="000000" w:themeColor="text1"/>
        </w:rPr>
        <w:t xml:space="preserve"> sasniegšanai līdz 2050. gadam</w:t>
      </w:r>
      <w:r>
        <w:rPr>
          <w:rStyle w:val="FootnoteReference"/>
          <w:color w:val="000000" w:themeColor="text1"/>
        </w:rPr>
        <w:footnoteReference w:id="24"/>
      </w:r>
      <w:r>
        <w:rPr>
          <w:color w:val="000000" w:themeColor="text1"/>
        </w:rPr>
        <w:t>;</w:t>
      </w:r>
    </w:p>
    <w:p w:rsidR="006E3E1B" w:rsidP="007E6A0A" w14:paraId="0E5C4522" w14:textId="44524600">
      <w:pPr>
        <w:pStyle w:val="ListParagraph"/>
        <w:numPr>
          <w:ilvl w:val="2"/>
          <w:numId w:val="3"/>
        </w:numPr>
        <w:jc w:val="both"/>
        <w:rPr>
          <w:color w:val="000000" w:themeColor="text1"/>
        </w:rPr>
      </w:pPr>
      <w:r w:rsidRPr="00E266EB">
        <w:rPr>
          <w:color w:val="000000" w:themeColor="text1"/>
        </w:rPr>
        <w:t>Latvijas Nacionālo enerģētikas un klimata plān</w:t>
      </w:r>
      <w:r>
        <w:rPr>
          <w:color w:val="000000" w:themeColor="text1"/>
        </w:rPr>
        <w:t>s</w:t>
      </w:r>
      <w:r w:rsidRPr="00E266EB">
        <w:rPr>
          <w:color w:val="000000" w:themeColor="text1"/>
        </w:rPr>
        <w:t xml:space="preserve"> 2021. – 2030. gadam</w:t>
      </w:r>
      <w:r>
        <w:rPr>
          <w:rStyle w:val="FootnoteReference"/>
          <w:color w:val="000000" w:themeColor="text1"/>
        </w:rPr>
        <w:footnoteReference w:id="25"/>
      </w:r>
      <w:r>
        <w:rPr>
          <w:color w:val="000000" w:themeColor="text1"/>
        </w:rPr>
        <w:t>.</w:t>
      </w:r>
    </w:p>
    <w:p w:rsidR="00372214" w:rsidP="00372214" w14:paraId="528D6B05" w14:textId="77777777">
      <w:pPr>
        <w:rPr>
          <w:color w:val="000000" w:themeColor="text1"/>
        </w:rPr>
      </w:pPr>
    </w:p>
    <w:p w:rsidR="00372214" w:rsidP="00372214" w14:paraId="1D0E57B7" w14:textId="77777777">
      <w:pPr>
        <w:rPr>
          <w:color w:val="000000" w:themeColor="text1"/>
        </w:rPr>
      </w:pPr>
    </w:p>
    <w:p w:rsidR="00372214" w:rsidP="00372214" w14:paraId="4A47D6D4" w14:textId="77777777">
      <w:pPr>
        <w:rPr>
          <w:color w:val="000000" w:themeColor="text1"/>
        </w:rPr>
      </w:pPr>
    </w:p>
    <w:p w:rsidR="00372214" w:rsidRPr="00372214" w:rsidP="00372214" w14:paraId="6C2B93A1" w14:textId="77777777">
      <w:pPr>
        <w:rPr>
          <w:color w:val="000000" w:themeColor="text1"/>
        </w:rPr>
      </w:pPr>
    </w:p>
    <w:tbl>
      <w:tblPr>
        <w:tblW w:w="9214" w:type="dxa"/>
        <w:tblInd w:w="284" w:type="dxa"/>
        <w:tblLayout w:type="fixed"/>
        <w:tblLook w:val="0000"/>
      </w:tblPr>
      <w:tblGrid>
        <w:gridCol w:w="4252"/>
        <w:gridCol w:w="4962"/>
      </w:tblGrid>
      <w:tr w14:paraId="46CD71A4" w14:textId="77777777" w:rsidTr="006E06B2">
        <w:tblPrEx>
          <w:tblW w:w="9214" w:type="dxa"/>
          <w:tblInd w:w="284" w:type="dxa"/>
          <w:tblLayout w:type="fixed"/>
          <w:tblLook w:val="0000"/>
        </w:tblPrEx>
        <w:trPr>
          <w:trHeight w:val="2879"/>
        </w:trPr>
        <w:tc>
          <w:tcPr>
            <w:tcW w:w="4252" w:type="dxa"/>
          </w:tcPr>
          <w:p w:rsidR="00B6205E" w:rsidRPr="00BC6D79" w:rsidP="00B6205E" w14:paraId="163FF78B" w14:textId="77777777">
            <w:pPr>
              <w:suppressAutoHyphens/>
              <w:ind w:right="68"/>
              <w:jc w:val="both"/>
              <w:rPr>
                <w:b/>
                <w:kern w:val="1"/>
                <w:lang w:eastAsia="ar-SA"/>
              </w:rPr>
            </w:pPr>
            <w:r w:rsidRPr="00BC6D79">
              <w:rPr>
                <w:b/>
                <w:kern w:val="1"/>
                <w:lang w:eastAsia="ar-SA"/>
              </w:rPr>
              <w:t>Klimata un enerģētikas ministrija</w:t>
            </w:r>
          </w:p>
          <w:p w:rsidR="00B6205E" w:rsidRPr="00BC6D79" w:rsidP="00B6205E" w14:paraId="2F084C1D" w14:textId="77777777">
            <w:pPr>
              <w:suppressAutoHyphens/>
              <w:jc w:val="both"/>
              <w:rPr>
                <w:color w:val="000000" w:themeColor="text1"/>
                <w:kern w:val="1"/>
                <w:lang w:eastAsia="en-US"/>
              </w:rPr>
            </w:pPr>
            <w:r w:rsidRPr="00BC6D79">
              <w:rPr>
                <w:kern w:val="1"/>
                <w:szCs w:val="22"/>
                <w:lang w:eastAsia="ar-SA"/>
              </w:rPr>
              <w:t>vienotais reģistrācijas Nr. </w:t>
            </w:r>
            <w:r w:rsidRPr="00BC6D79">
              <w:rPr>
                <w:color w:val="000000" w:themeColor="text1"/>
                <w:lang w:eastAsia="en-US"/>
              </w:rPr>
              <w:t>40900039891</w:t>
            </w:r>
          </w:p>
          <w:p w:rsidR="00B6205E" w:rsidRPr="00D20B5F" w:rsidP="00B6205E" w14:paraId="7F59006C" w14:textId="4BAD7C70">
            <w:pPr>
              <w:suppressAutoHyphens/>
              <w:jc w:val="both"/>
              <w:rPr>
                <w:color w:val="0D0D0D" w:themeColor="text1" w:themeTint="F2"/>
                <w:kern w:val="1"/>
                <w:szCs w:val="22"/>
                <w:lang w:eastAsia="ar-SA"/>
              </w:rPr>
            </w:pPr>
            <w:r w:rsidRPr="00D20B5F">
              <w:rPr>
                <w:color w:val="0D0D0D" w:themeColor="text1" w:themeTint="F2"/>
                <w:lang w:eastAsia="en-US"/>
              </w:rPr>
              <w:t xml:space="preserve">Maskavas iela 165, Rīga, LV-1019 </w:t>
            </w:r>
          </w:p>
          <w:p w:rsidR="00D20B5F" w:rsidRPr="00D20B5F" w:rsidP="004B084E" w14:paraId="0BDA6854" w14:textId="77777777">
            <w:pPr>
              <w:suppressAutoHyphens/>
              <w:jc w:val="both"/>
              <w:rPr>
                <w:color w:val="0D0D0D" w:themeColor="text1" w:themeTint="F2"/>
                <w:kern w:val="1"/>
                <w:szCs w:val="22"/>
                <w:lang w:eastAsia="ar-SA"/>
              </w:rPr>
            </w:pPr>
          </w:p>
          <w:p w:rsidR="00065E26" w:rsidRPr="00D20B5F" w:rsidP="00372214" w14:paraId="76872537" w14:textId="0BB8541B">
            <w:pPr>
              <w:suppressAutoHyphens/>
              <w:jc w:val="both"/>
              <w:rPr>
                <w:color w:val="0D0D0D" w:themeColor="text1" w:themeTint="F2"/>
                <w:kern w:val="1"/>
                <w:lang w:eastAsia="ar-SA"/>
              </w:rPr>
            </w:pPr>
            <w:r w:rsidRPr="00D20B5F">
              <w:rPr>
                <w:color w:val="0D0D0D" w:themeColor="text1" w:themeTint="F2"/>
                <w:kern w:val="1"/>
                <w:szCs w:val="22"/>
                <w:lang w:eastAsia="ar-SA"/>
              </w:rPr>
              <w:t>Valsts sekretār</w:t>
            </w:r>
            <w:r w:rsidRPr="00D20B5F" w:rsidR="004B084E">
              <w:rPr>
                <w:color w:val="0D0D0D" w:themeColor="text1" w:themeTint="F2"/>
                <w:kern w:val="1"/>
                <w:szCs w:val="22"/>
                <w:lang w:eastAsia="ar-SA"/>
              </w:rPr>
              <w:t>e</w:t>
            </w:r>
            <w:r w:rsidRPr="00D20B5F">
              <w:rPr>
                <w:color w:val="0D0D0D" w:themeColor="text1" w:themeTint="F2"/>
                <w:kern w:val="1"/>
                <w:szCs w:val="22"/>
                <w:lang w:eastAsia="ar-SA"/>
              </w:rPr>
              <w:t xml:space="preserve"> </w:t>
            </w:r>
          </w:p>
          <w:p w:rsidR="00372214" w:rsidRPr="00D20B5F" w:rsidP="00372214" w14:paraId="4964E94B" w14:textId="7C94E0F6">
            <w:pPr>
              <w:suppressAutoHyphens/>
              <w:jc w:val="both"/>
              <w:rPr>
                <w:color w:val="0D0D0D" w:themeColor="text1" w:themeTint="F2"/>
                <w:kern w:val="1"/>
                <w:lang w:eastAsia="ar-SA"/>
              </w:rPr>
            </w:pPr>
            <w:r w:rsidRPr="00D20B5F">
              <w:rPr>
                <w:color w:val="0D0D0D" w:themeColor="text1" w:themeTint="F2"/>
                <w:kern w:val="1"/>
                <w:lang w:eastAsia="ar-SA"/>
              </w:rPr>
              <w:t>_______________________________</w:t>
            </w:r>
          </w:p>
          <w:p w:rsidR="00372214" w:rsidRPr="00BC6D79" w:rsidP="00372214" w14:paraId="3F56ACA6" w14:textId="650F99F5">
            <w:pPr>
              <w:suppressAutoHyphens/>
              <w:jc w:val="both"/>
              <w:rPr>
                <w:kern w:val="1"/>
                <w:lang w:eastAsia="ar-SA"/>
              </w:rPr>
            </w:pPr>
            <w:r w:rsidRPr="00D20B5F">
              <w:rPr>
                <w:color w:val="0D0D0D" w:themeColor="text1" w:themeTint="F2"/>
                <w:kern w:val="1"/>
                <w:lang w:eastAsia="ar-SA"/>
              </w:rPr>
              <w:t>Līga Kurevska</w:t>
            </w:r>
          </w:p>
        </w:tc>
        <w:tc>
          <w:tcPr>
            <w:tcW w:w="4962" w:type="dxa"/>
          </w:tcPr>
          <w:p w:rsidR="00065E26" w:rsidRPr="00BC6D79" w:rsidP="006E06B2" w14:paraId="2F2BC852" w14:textId="2C3E6728">
            <w:pPr>
              <w:suppressAutoHyphens/>
              <w:jc w:val="both"/>
              <w:rPr>
                <w:kern w:val="1"/>
                <w:lang w:eastAsia="ar-SA"/>
              </w:rPr>
            </w:pPr>
            <w:r>
              <w:rPr>
                <w:b/>
                <w:kern w:val="1"/>
                <w:lang w:eastAsia="ar-SA"/>
              </w:rPr>
              <w:t>Latvijas Biozinātņu un tehnoloģiju universitāte</w:t>
            </w:r>
          </w:p>
          <w:p w:rsidR="00065E26" w:rsidRPr="00BC6D79" w:rsidP="006E06B2" w14:paraId="3DB0B560" w14:textId="77777777">
            <w:pPr>
              <w:suppressAutoHyphens/>
              <w:jc w:val="both"/>
              <w:rPr>
                <w:kern w:val="1"/>
                <w:lang w:eastAsia="ar-SA"/>
              </w:rPr>
            </w:pPr>
            <w:r w:rsidRPr="00BC6D79">
              <w:rPr>
                <w:kern w:val="1"/>
                <w:lang w:eastAsia="ar-SA"/>
              </w:rPr>
              <w:t>vienotais reģistrācijas Nr. 90000041898</w:t>
            </w:r>
          </w:p>
          <w:p w:rsidR="00065E26" w:rsidRPr="00BC6D79" w:rsidP="006E06B2" w14:paraId="3F2AF792" w14:textId="77777777">
            <w:pPr>
              <w:suppressAutoHyphens/>
              <w:jc w:val="both"/>
              <w:rPr>
                <w:kern w:val="1"/>
                <w:lang w:eastAsia="ar-SA"/>
              </w:rPr>
            </w:pPr>
            <w:r w:rsidRPr="00BC6D79">
              <w:rPr>
                <w:kern w:val="1"/>
                <w:lang w:eastAsia="ar-SA"/>
              </w:rPr>
              <w:t>Lielā iela 2,Jelgava, LV-3001</w:t>
            </w:r>
          </w:p>
          <w:p w:rsidR="00372214" w:rsidRPr="00BC6D79" w:rsidP="006E06B2" w14:paraId="0C24F6C8" w14:textId="6A4BFBB1">
            <w:pPr>
              <w:suppressAutoHyphens/>
              <w:jc w:val="both"/>
              <w:rPr>
                <w:kern w:val="1"/>
                <w:lang w:eastAsia="ar-SA"/>
              </w:rPr>
            </w:pPr>
            <w:r w:rsidRPr="00BC6D79">
              <w:rPr>
                <w:kern w:val="1"/>
                <w:lang w:eastAsia="ar-SA"/>
              </w:rPr>
              <w:t xml:space="preserve">Zinātņu </w:t>
            </w:r>
            <w:r w:rsidRPr="00BC6D79">
              <w:rPr>
                <w:kern w:val="1"/>
                <w:lang w:eastAsia="ar-SA"/>
              </w:rPr>
              <w:t>prorektore</w:t>
            </w:r>
          </w:p>
          <w:p w:rsidR="00372214" w:rsidRPr="00035308" w:rsidP="006E06B2" w14:paraId="011C166D" w14:textId="77777777">
            <w:pPr>
              <w:suppressAutoHyphens/>
              <w:jc w:val="both"/>
              <w:rPr>
                <w:color w:val="000000" w:themeColor="text1"/>
                <w:kern w:val="1"/>
                <w:lang w:eastAsia="ar-SA"/>
              </w:rPr>
            </w:pPr>
            <w:r w:rsidRPr="00035308">
              <w:rPr>
                <w:color w:val="000000" w:themeColor="text1"/>
                <w:kern w:val="1"/>
                <w:lang w:eastAsia="ar-SA"/>
              </w:rPr>
              <w:t xml:space="preserve">______________________________ </w:t>
            </w:r>
          </w:p>
          <w:p w:rsidR="00485FD1" w:rsidRPr="00035308" w:rsidP="006E06B2" w14:paraId="4BD00426" w14:textId="229236C7">
            <w:pPr>
              <w:suppressAutoHyphens/>
              <w:rPr>
                <w:color w:val="000000" w:themeColor="text1"/>
                <w:szCs w:val="22"/>
              </w:rPr>
            </w:pPr>
            <w:r w:rsidRPr="00035308">
              <w:rPr>
                <w:color w:val="000000" w:themeColor="text1"/>
              </w:rPr>
              <w:t>Irina Arhipova</w:t>
            </w:r>
          </w:p>
          <w:p w:rsidR="00372214" w:rsidRPr="00BC6D79" w:rsidP="006E06B2" w14:paraId="2D94F6D1" w14:textId="2DAC734C">
            <w:pPr>
              <w:suppressAutoHyphens/>
              <w:jc w:val="both"/>
              <w:rPr>
                <w:kern w:val="1"/>
                <w:lang w:eastAsia="ar-SA"/>
              </w:rPr>
            </w:pPr>
          </w:p>
        </w:tc>
      </w:tr>
    </w:tbl>
    <w:p w:rsidR="004B084E" w:rsidRPr="002A33C1" w:rsidP="004B084E" w14:paraId="187F0335" w14:textId="77777777">
      <w:pPr>
        <w:rPr>
          <w:rFonts w:ascii="Dutch TL" w:hAnsi="Dutch TL"/>
          <w:szCs w:val="20"/>
          <w:lang w:eastAsia="en-US"/>
        </w:rPr>
      </w:pPr>
    </w:p>
    <w:p w:rsidR="004B084E" w:rsidRPr="00D36F5A" w:rsidP="004B084E" w14:paraId="5BAACC23" w14:textId="77777777">
      <w:pPr>
        <w:jc w:val="center"/>
        <w:rPr>
          <w:rFonts w:ascii="Dutch TL" w:hAnsi="Dutch TL"/>
          <w:szCs w:val="20"/>
          <w:lang w:eastAsia="en-US"/>
        </w:rPr>
      </w:pPr>
      <w:r w:rsidRPr="002A33C1">
        <w:rPr>
          <w:rFonts w:ascii="Dutch TL" w:hAnsi="Dutch TL"/>
          <w:szCs w:val="20"/>
          <w:lang w:eastAsia="en-US"/>
        </w:rPr>
        <w:t>ŠIS DOKUMENTS IR ELEKTRONISKI PARAKSTĪTS AR DROŠU ELEKTRONISKO PARAKSTU UN SATUR LAIKA ZĪMOGU</w:t>
      </w:r>
    </w:p>
    <w:p w:rsidR="008228D6" w:rsidRPr="00230C7A" w:rsidP="008228D6" w14:paraId="33AD33D4" w14:textId="3A5251A5">
      <w:pPr>
        <w:pStyle w:val="FootnoteText"/>
        <w:jc w:val="both"/>
      </w:pPr>
    </w:p>
    <w:sectPr>
      <w:headerReference w:type="default" r:id="rId6"/>
      <w:footerReference w:type="default" r:id="rI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Dutch TL">
    <w:altName w:val="Times New Roman"/>
    <w:charset w:val="BA"/>
    <w:family w:val="roman"/>
    <w:pitch w:val="variable"/>
    <w:sig w:usb0="800002AF"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095693065"/>
      <w:docPartObj>
        <w:docPartGallery w:val="Page Numbers (Bottom of Page)"/>
        <w:docPartUnique/>
      </w:docPartObj>
    </w:sdtPr>
    <w:sdtEndPr>
      <w:rPr>
        <w:noProof/>
      </w:rPr>
    </w:sdtEndPr>
    <w:sdtContent>
      <w:p w:rsidR="00F35155" w14:paraId="506AC9B8" w14:textId="699C9DEF">
        <w:pPr>
          <w:pStyle w:val="Footer"/>
          <w:jc w:val="right"/>
        </w:pPr>
        <w:r>
          <w:fldChar w:fldCharType="begin"/>
        </w:r>
        <w:r>
          <w:instrText xml:space="preserve"> PAGE   \* MERGEFORMAT </w:instrText>
        </w:r>
        <w:r>
          <w:fldChar w:fldCharType="separate"/>
        </w:r>
        <w:r w:rsidR="00A641DC">
          <w:rPr>
            <w:noProof/>
          </w:rPr>
          <w:t>4</w:t>
        </w:r>
        <w:r>
          <w:rPr>
            <w:noProof/>
          </w:rPr>
          <w:fldChar w:fldCharType="end"/>
        </w:r>
      </w:p>
    </w:sdtContent>
  </w:sdt>
  <w:p w:rsidR="00F35155" w14:paraId="7B626D8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65290C" w:rsidP="00172910" w14:paraId="61487B1C" w14:textId="77777777">
      <w:r>
        <w:separator/>
      </w:r>
    </w:p>
  </w:footnote>
  <w:footnote w:type="continuationSeparator" w:id="1">
    <w:p w:rsidR="0065290C" w:rsidP="00172910" w14:paraId="2405B983" w14:textId="77777777">
      <w:r>
        <w:continuationSeparator/>
      </w:r>
    </w:p>
  </w:footnote>
  <w:footnote w:id="2">
    <w:p w:rsidR="009E7D08" w14:paraId="16692AF2" w14:textId="363CB4E0">
      <w:pPr>
        <w:pStyle w:val="FootnoteText"/>
      </w:pPr>
      <w:r>
        <w:rPr>
          <w:rStyle w:val="FootnoteReference"/>
        </w:rPr>
        <w:footnoteRef/>
      </w:r>
      <w:r>
        <w:t xml:space="preserve"> </w:t>
      </w:r>
      <w:r w:rsidRPr="009E7D08">
        <w:t>https://likumi.lv/ta/lv/starptautiskie-ligumi/id/1309</w:t>
      </w:r>
    </w:p>
  </w:footnote>
  <w:footnote w:id="3">
    <w:p w:rsidR="009E7D08" w14:paraId="1EDBC38D" w14:textId="66FFAB60">
      <w:pPr>
        <w:pStyle w:val="FootnoteText"/>
      </w:pPr>
      <w:r>
        <w:rPr>
          <w:rStyle w:val="FootnoteReference"/>
        </w:rPr>
        <w:footnoteRef/>
      </w:r>
      <w:r>
        <w:t xml:space="preserve"> </w:t>
      </w:r>
      <w:r w:rsidRPr="009E7D08">
        <w:t>https://likumi.lv/ta/lv/starptautiskie-ligumi/id/1422</w:t>
      </w:r>
    </w:p>
  </w:footnote>
  <w:footnote w:id="4">
    <w:p w:rsidR="009E7D08" w14:paraId="2FC1C5D0" w14:textId="1C719CFF">
      <w:pPr>
        <w:pStyle w:val="FootnoteText"/>
      </w:pPr>
      <w:r>
        <w:rPr>
          <w:rStyle w:val="FootnoteReference"/>
        </w:rPr>
        <w:footnoteRef/>
      </w:r>
      <w:r>
        <w:t xml:space="preserve"> </w:t>
      </w:r>
      <w:r w:rsidRPr="009E7D08">
        <w:t>https://likumi.lv/ta/id/277111-par-apvienoto-naciju-organizacijas-visparejas-konvencijas-par-klimata-parmainam-kioto-protokola-dohas-grozijumu</w:t>
      </w:r>
    </w:p>
  </w:footnote>
  <w:footnote w:id="5">
    <w:p w:rsidR="00D04C95" w14:paraId="5A5D8DA2" w14:textId="28D14ACC">
      <w:pPr>
        <w:pStyle w:val="FootnoteText"/>
      </w:pPr>
      <w:r>
        <w:rPr>
          <w:rStyle w:val="FootnoteReference"/>
        </w:rPr>
        <w:footnoteRef/>
      </w:r>
      <w:r>
        <w:t xml:space="preserve"> </w:t>
      </w:r>
      <w:r w:rsidRPr="00D04C95">
        <w:t>http://unfccc.int/resource/docs/2013/cop19/eng/10a03.pdf#page=2</w:t>
      </w:r>
    </w:p>
  </w:footnote>
  <w:footnote w:id="6">
    <w:p w:rsidR="00D04C95" w14:paraId="11F138C6" w14:textId="4F5ABE32">
      <w:pPr>
        <w:pStyle w:val="FootnoteText"/>
      </w:pPr>
      <w:r>
        <w:rPr>
          <w:rStyle w:val="FootnoteReference"/>
        </w:rPr>
        <w:footnoteRef/>
      </w:r>
      <w:r>
        <w:t xml:space="preserve"> </w:t>
      </w:r>
      <w:r w:rsidRPr="006B799D">
        <w:rPr>
          <w:rStyle w:val="Hyperlink"/>
        </w:rPr>
        <w:t>http://unfccc.int/resource/docs/2013/cmp9/eng/09a01.pdf</w:t>
      </w:r>
    </w:p>
  </w:footnote>
  <w:footnote w:id="7">
    <w:p w:rsidR="0026394C" w14:paraId="12EB2D68" w14:textId="27211B80">
      <w:pPr>
        <w:pStyle w:val="FootnoteText"/>
      </w:pPr>
      <w:r>
        <w:rPr>
          <w:rStyle w:val="FootnoteReference"/>
        </w:rPr>
        <w:footnoteRef/>
      </w:r>
      <w:r>
        <w:t xml:space="preserve"> </w:t>
      </w:r>
      <w:r w:rsidRPr="0026394C">
        <w:t>http://unfccc.int/resource/docs/2005/cmp1/eng/08a02.pdf#page=54</w:t>
      </w:r>
    </w:p>
  </w:footnote>
  <w:footnote w:id="8">
    <w:p w:rsidR="0026394C" w14:paraId="18239CAA" w14:textId="3D152165">
      <w:pPr>
        <w:pStyle w:val="FootnoteText"/>
      </w:pPr>
      <w:r>
        <w:rPr>
          <w:rStyle w:val="FootnoteReference"/>
        </w:rPr>
        <w:footnoteRef/>
      </w:r>
      <w:r>
        <w:t xml:space="preserve"> </w:t>
      </w:r>
      <w:r w:rsidRPr="006B799D">
        <w:rPr>
          <w:rStyle w:val="Hyperlink"/>
        </w:rPr>
        <w:t>http://unfccc.int/resource/docs/2012/cmp8/eng/13a01.pdf</w:t>
      </w:r>
    </w:p>
  </w:footnote>
  <w:footnote w:id="9">
    <w:p w:rsidR="0026394C" w14:paraId="497C415E" w14:textId="28912083">
      <w:pPr>
        <w:pStyle w:val="FootnoteText"/>
      </w:pPr>
      <w:r>
        <w:rPr>
          <w:rStyle w:val="FootnoteReference"/>
        </w:rPr>
        <w:footnoteRef/>
      </w:r>
      <w:r>
        <w:t xml:space="preserve"> </w:t>
      </w:r>
      <w:r w:rsidRPr="0026394C">
        <w:t>http://unfccc.int/resource/docs/2005/cmp1/eng/08a03.pdf#page=14</w:t>
      </w:r>
    </w:p>
  </w:footnote>
  <w:footnote w:id="10">
    <w:p w:rsidR="00574A82" w14:paraId="61237979" w14:textId="6F3B7BE9">
      <w:pPr>
        <w:pStyle w:val="FootnoteText"/>
      </w:pPr>
      <w:r>
        <w:rPr>
          <w:rStyle w:val="FootnoteReference"/>
        </w:rPr>
        <w:footnoteRef/>
      </w:r>
      <w:r w:rsidR="00626E9D">
        <w:t> </w:t>
      </w:r>
      <w:r w:rsidRPr="00574A82">
        <w:t>http://unfccc.int/resource/docs/2015/cmp11/eng/08a01.pdf#page=5</w:t>
      </w:r>
    </w:p>
  </w:footnote>
  <w:footnote w:id="11">
    <w:p w:rsidR="00574A82" w14:paraId="2C215B5C" w14:textId="580D93B4">
      <w:pPr>
        <w:pStyle w:val="FootnoteText"/>
      </w:pPr>
      <w:r>
        <w:rPr>
          <w:rStyle w:val="FootnoteReference"/>
        </w:rPr>
        <w:footnoteRef/>
      </w:r>
      <w:r w:rsidR="00626E9D">
        <w:t> </w:t>
      </w:r>
      <w:r w:rsidRPr="00574A82">
        <w:t>http://unfccc.int/resource/docs/2010/cop16/eng/07a01.pdf#page=2</w:t>
      </w:r>
    </w:p>
  </w:footnote>
  <w:footnote w:id="12">
    <w:p w:rsidR="00574A82" w14:paraId="41B9DB59" w14:textId="1BE83630">
      <w:pPr>
        <w:pStyle w:val="FootnoteText"/>
      </w:pPr>
      <w:r>
        <w:rPr>
          <w:rStyle w:val="FootnoteReference"/>
        </w:rPr>
        <w:footnoteRef/>
      </w:r>
      <w:r w:rsidR="00626E9D">
        <w:t> </w:t>
      </w:r>
      <w:r w:rsidRPr="00574A82">
        <w:t>https://unfccc.int/resource/docs/2011/cop17/eng/09a01.pdf</w:t>
      </w:r>
    </w:p>
  </w:footnote>
  <w:footnote w:id="13">
    <w:p w:rsidR="00031D89" w14:paraId="2A502662" w14:textId="36738217">
      <w:pPr>
        <w:pStyle w:val="FootnoteText"/>
      </w:pPr>
      <w:r>
        <w:rPr>
          <w:rStyle w:val="FootnoteReference"/>
        </w:rPr>
        <w:footnoteRef/>
      </w:r>
      <w:r w:rsidR="00626E9D">
        <w:t> </w:t>
      </w:r>
      <w:r w:rsidRPr="00192663">
        <w:rPr>
          <w:lang w:val="cs-CZ"/>
        </w:rPr>
        <w:t>http://unfccc.int/resource/docs/cop5/06a01.pdf#page=8</w:t>
      </w:r>
    </w:p>
  </w:footnote>
  <w:footnote w:id="14">
    <w:p w:rsidR="00031D89" w14:paraId="4FF97A28" w14:textId="08527E1B">
      <w:pPr>
        <w:pStyle w:val="FootnoteText"/>
      </w:pPr>
      <w:r>
        <w:rPr>
          <w:rStyle w:val="FootnoteReference"/>
        </w:rPr>
        <w:footnoteRef/>
      </w:r>
      <w:r w:rsidR="00626E9D">
        <w:t> </w:t>
      </w:r>
      <w:r w:rsidRPr="00031D89">
        <w:t>http://unfccc.int/resource/docs/2010/cop16/eng/07a02.pdf#page=17</w:t>
      </w:r>
    </w:p>
  </w:footnote>
  <w:footnote w:id="15">
    <w:p w:rsidR="00031D89" w14:paraId="23F7CCAE" w14:textId="5FBC8BCD">
      <w:pPr>
        <w:pStyle w:val="FootnoteText"/>
      </w:pPr>
      <w:r>
        <w:rPr>
          <w:rStyle w:val="FootnoteReference"/>
        </w:rPr>
        <w:footnoteRef/>
      </w:r>
      <w:r w:rsidR="00626E9D">
        <w:t> </w:t>
      </w:r>
      <w:r w:rsidRPr="00031D89">
        <w:t>http://unfccc.int/resource/docs/2012/cop18/eng/08a03.pdf#page=3</w:t>
      </w:r>
    </w:p>
  </w:footnote>
  <w:footnote w:id="16">
    <w:p w:rsidR="00031D89" w14:paraId="570BE92E" w14:textId="5F4C27F0">
      <w:pPr>
        <w:pStyle w:val="FootnoteText"/>
      </w:pPr>
      <w:r>
        <w:rPr>
          <w:rStyle w:val="FootnoteReference"/>
        </w:rPr>
        <w:footnoteRef/>
      </w:r>
      <w:r w:rsidR="00626E9D">
        <w:t> </w:t>
      </w:r>
      <w:r w:rsidRPr="00031D89">
        <w:t>http://unfccc.int/resource/docs/2005/cmp1/eng/08a02.pdf#page=23</w:t>
      </w:r>
    </w:p>
  </w:footnote>
  <w:footnote w:id="17">
    <w:p w:rsidR="00F35192" w14:paraId="626D5C76" w14:textId="61D76B8E">
      <w:pPr>
        <w:pStyle w:val="FootnoteText"/>
      </w:pPr>
      <w:r>
        <w:rPr>
          <w:rStyle w:val="FootnoteReference"/>
        </w:rPr>
        <w:footnoteRef/>
      </w:r>
      <w:r>
        <w:t xml:space="preserve"> </w:t>
      </w:r>
      <w:hyperlink r:id="rId1" w:history="1">
        <w:r w:rsidRPr="0074675B">
          <w:rPr>
            <w:rStyle w:val="Hyperlink"/>
          </w:rPr>
          <w:t>https://unfccc.int/sites/default/files/resource/cma2018_3_add2_new_advance.pdf</w:t>
        </w:r>
      </w:hyperlink>
      <w:r>
        <w:t xml:space="preserve"> </w:t>
      </w:r>
    </w:p>
  </w:footnote>
  <w:footnote w:id="18">
    <w:p w:rsidR="002C08AD" w14:paraId="55B5340A" w14:textId="494DB968">
      <w:pPr>
        <w:pStyle w:val="FootnoteText"/>
      </w:pPr>
      <w:r>
        <w:rPr>
          <w:rStyle w:val="FootnoteReference"/>
        </w:rPr>
        <w:footnoteRef/>
      </w:r>
      <w:r>
        <w:t xml:space="preserve"> </w:t>
      </w:r>
      <w:r w:rsidRPr="00655474" w:rsidR="00655474">
        <w:t>https://unfccc.int/sites/default/files/resource/cma3_auv_5_transparency_0.pdf</w:t>
      </w:r>
    </w:p>
  </w:footnote>
  <w:footnote w:id="19">
    <w:p w:rsidR="00F35192" w14:paraId="3868A8D2" w14:textId="14872DE4">
      <w:pPr>
        <w:pStyle w:val="FootnoteText"/>
      </w:pPr>
      <w:r>
        <w:rPr>
          <w:rStyle w:val="FootnoteReference"/>
        </w:rPr>
        <w:footnoteRef/>
      </w:r>
      <w:r>
        <w:t xml:space="preserve"> </w:t>
      </w:r>
      <w:r w:rsidRPr="00F35192">
        <w:t>https://eur-lex.europa.eu/legal-content/LV/TXT/?uri=CELEX:32020R1208</w:t>
      </w:r>
    </w:p>
  </w:footnote>
  <w:footnote w:id="20">
    <w:p w:rsidR="008A0DD0" w14:paraId="5C747526" w14:textId="73F50998">
      <w:pPr>
        <w:pStyle w:val="FootnoteText"/>
      </w:pPr>
      <w:r>
        <w:rPr>
          <w:rStyle w:val="FootnoteReference"/>
        </w:rPr>
        <w:footnoteRef/>
      </w:r>
      <w:r>
        <w:t xml:space="preserve"> </w:t>
      </w:r>
      <w:r w:rsidRPr="008A0DD0">
        <w:t>https://eur-lex.europa.eu/legal-content/LV/TXT/PDF/?uri=CELEX:32020D2126&amp;from=NL</w:t>
      </w:r>
    </w:p>
  </w:footnote>
  <w:footnote w:id="21">
    <w:p w:rsidR="006D2882" w14:paraId="55AC2921" w14:textId="34CF3661">
      <w:pPr>
        <w:pStyle w:val="FootnoteText"/>
      </w:pPr>
      <w:r>
        <w:rPr>
          <w:rStyle w:val="FootnoteReference"/>
        </w:rPr>
        <w:footnoteRef/>
      </w:r>
      <w:r>
        <w:t xml:space="preserve"> </w:t>
      </w:r>
      <w:r w:rsidRPr="00655474" w:rsidR="00655474">
        <w:t>https://eur-lex.europa.eu/legal-content/LV/TXT/?uri=CELEX:32020R1044</w:t>
      </w:r>
    </w:p>
  </w:footnote>
  <w:footnote w:id="22">
    <w:p w:rsidR="004B084E" w:rsidP="004B084E" w14:paraId="0706CA20" w14:textId="77777777">
      <w:pPr>
        <w:pStyle w:val="FootnoteText"/>
      </w:pPr>
      <w:r>
        <w:rPr>
          <w:rStyle w:val="FootnoteReference"/>
        </w:rPr>
        <w:footnoteRef/>
      </w:r>
      <w:r>
        <w:t> </w:t>
      </w:r>
      <w:r w:rsidRPr="007E6926">
        <w:t xml:space="preserve"> https://www.pkc.gov.lv/sites/default/files/inline-files/NAP2027_apstiprin%C4%81ts%20Saeim%C4%81_1.pdf</w:t>
      </w:r>
    </w:p>
  </w:footnote>
  <w:footnote w:id="23">
    <w:p w:rsidR="004B084E" w:rsidP="004B084E" w14:paraId="2BD6C8FD" w14:textId="77777777">
      <w:pPr>
        <w:pStyle w:val="FootnoteText"/>
      </w:pPr>
      <w:r>
        <w:rPr>
          <w:rStyle w:val="FootnoteReference"/>
        </w:rPr>
        <w:footnoteRef/>
      </w:r>
      <w:r>
        <w:t> </w:t>
      </w:r>
      <w:r w:rsidRPr="007E6926">
        <w:t>https://likumi.lv/ta/id/335137-par-vides-politikas-pamatnostadnem-2021-2027-gadam</w:t>
      </w:r>
    </w:p>
  </w:footnote>
  <w:footnote w:id="24">
    <w:p w:rsidR="00E266EB" w14:paraId="36CDFC7B" w14:textId="1BB3133E">
      <w:pPr>
        <w:pStyle w:val="FootnoteText"/>
      </w:pPr>
      <w:r>
        <w:rPr>
          <w:rStyle w:val="FootnoteReference"/>
        </w:rPr>
        <w:footnoteRef/>
      </w:r>
      <w:r>
        <w:t xml:space="preserve"> </w:t>
      </w:r>
      <w:r w:rsidRPr="00192E94" w:rsidR="00192E94">
        <w:t>http://tap.mk.gov.lv/mk/tap/?pid=40462398</w:t>
      </w:r>
    </w:p>
  </w:footnote>
  <w:footnote w:id="25">
    <w:p w:rsidR="00192E94" w14:paraId="23544345" w14:textId="180E1A55">
      <w:pPr>
        <w:pStyle w:val="FootnoteText"/>
      </w:pPr>
      <w:r>
        <w:rPr>
          <w:rStyle w:val="FootnoteReference"/>
        </w:rPr>
        <w:footnoteRef/>
      </w:r>
      <w:r>
        <w:t xml:space="preserve"> </w:t>
      </w:r>
      <w:r w:rsidRPr="001541D3" w:rsidR="001541D3">
        <w:t>https://likumi.lv/ta/id/312423-par-latvijas-nacionalo-energetikas-un-klimata-planu-20212030-gadam</w:t>
      </w:r>
      <w:r w:rsidR="001541D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D48A2" w:rsidRPr="001D48A2" w:rsidP="00FE3E3C" w14:paraId="5963C96A" w14:textId="5ED84410">
    <w:pPr>
      <w:pStyle w:val="Header"/>
      <w:jc w:val="right"/>
      <w:rPr>
        <w:color w:val="333333"/>
        <w:sz w:val="22"/>
        <w:szCs w:val="22"/>
        <w:lang w:val="lv-LV"/>
      </w:rPr>
    </w:pPr>
    <w:r>
      <w:tab/>
    </w:r>
    <w:r w:rsidRPr="001D48A2" w:rsidR="00E2168A">
      <w:rPr>
        <w:b/>
        <w:color w:val="333333"/>
        <w:sz w:val="22"/>
        <w:szCs w:val="22"/>
      </w:rPr>
      <w:t>2.pielikums</w:t>
    </w:r>
    <w:r w:rsidRPr="001D48A2" w:rsidR="00E2168A">
      <w:rPr>
        <w:color w:val="333333"/>
        <w:sz w:val="22"/>
        <w:szCs w:val="22"/>
      </w:rPr>
      <w:t xml:space="preserve"> </w:t>
    </w:r>
    <w:r w:rsidRPr="001D48A2">
      <w:rPr>
        <w:color w:val="333333"/>
        <w:sz w:val="22"/>
        <w:szCs w:val="22"/>
        <w:lang w:val="lv-LV"/>
      </w:rPr>
      <w:t>līgumam Nr</w:t>
    </w:r>
    <w:r w:rsidR="00A556F3">
      <w:rPr>
        <w:color w:val="333333"/>
        <w:sz w:val="22"/>
        <w:szCs w:val="22"/>
        <w:lang w:val="lv-LV"/>
      </w:rPr>
      <w:t>.</w:t>
    </w:r>
    <w:r w:rsidRPr="004B084E" w:rsidR="004B084E">
      <w:rPr>
        <w:color w:val="333333"/>
        <w:sz w:val="22"/>
      </w:rPr>
      <w:t xml:space="preserve"> </w:t>
    </w:r>
    <w:r w:rsidRPr="00F63113" w:rsidR="004B084E">
      <w:rPr>
        <w:noProof/>
        <w:color w:val="333333"/>
        <w:sz w:val="22"/>
      </w:rPr>
      <w:t>PL/2023/8/KEM</w:t>
    </w:r>
  </w:p>
  <w:p w:rsidR="009C21E4" w:rsidP="00FE3E3C" w14:paraId="2BA3E882" w14:textId="77777777">
    <w:pPr>
      <w:pStyle w:val="Header"/>
      <w:jc w:val="right"/>
      <w:rPr>
        <w:color w:val="333333"/>
        <w:sz w:val="22"/>
        <w:szCs w:val="22"/>
      </w:rPr>
    </w:pPr>
    <w:r w:rsidRPr="001D48A2">
      <w:rPr>
        <w:color w:val="333333"/>
        <w:sz w:val="22"/>
        <w:szCs w:val="22"/>
      </w:rPr>
      <w:t xml:space="preserve">starp </w:t>
    </w:r>
    <w:r w:rsidRPr="001D48A2" w:rsidR="00630208">
      <w:rPr>
        <w:color w:val="333333"/>
        <w:sz w:val="22"/>
        <w:szCs w:val="22"/>
        <w:lang w:val="lv-LV"/>
      </w:rPr>
      <w:t xml:space="preserve">Klimata un </w:t>
    </w:r>
    <w:r w:rsidRPr="001D48A2" w:rsidR="00FE3E3C">
      <w:rPr>
        <w:color w:val="333333"/>
        <w:sz w:val="22"/>
        <w:szCs w:val="22"/>
        <w:lang w:val="lv-LV"/>
      </w:rPr>
      <w:t xml:space="preserve">enerģētikas </w:t>
    </w:r>
    <w:r w:rsidRPr="001D48A2">
      <w:rPr>
        <w:color w:val="333333"/>
        <w:sz w:val="22"/>
        <w:szCs w:val="22"/>
      </w:rPr>
      <w:t xml:space="preserve"> ministriju</w:t>
    </w:r>
  </w:p>
  <w:p w:rsidR="009C21E4" w:rsidP="00FE3E3C" w14:paraId="4EC535EE" w14:textId="7EB2C7B2">
    <w:pPr>
      <w:pStyle w:val="Header"/>
      <w:jc w:val="right"/>
      <w:rPr>
        <w:color w:val="333333"/>
        <w:sz w:val="22"/>
        <w:szCs w:val="22"/>
      </w:rPr>
    </w:pPr>
    <w:r w:rsidRPr="001D48A2">
      <w:rPr>
        <w:color w:val="333333"/>
        <w:sz w:val="22"/>
        <w:szCs w:val="22"/>
      </w:rPr>
      <w:t xml:space="preserve"> </w:t>
    </w:r>
    <w:r w:rsidR="006633CC">
      <w:rPr>
        <w:color w:val="333333"/>
        <w:sz w:val="22"/>
        <w:szCs w:val="22"/>
        <w:lang w:val="lv-LV"/>
      </w:rPr>
      <w:t>turpmāk “Ministrij</w:t>
    </w:r>
    <w:r>
      <w:rPr>
        <w:color w:val="333333"/>
        <w:sz w:val="22"/>
        <w:szCs w:val="22"/>
        <w:lang w:val="lv-LV"/>
      </w:rPr>
      <w:t xml:space="preserve">a” </w:t>
    </w:r>
    <w:r w:rsidRPr="001D48A2">
      <w:rPr>
        <w:color w:val="333333"/>
        <w:sz w:val="22"/>
        <w:szCs w:val="22"/>
      </w:rPr>
      <w:t xml:space="preserve">un </w:t>
    </w:r>
  </w:p>
  <w:p w:rsidR="00343481" w:rsidRPr="001D48A2" w:rsidP="00FE3E3C" w14:paraId="647AECEF" w14:textId="5AD88B4F">
    <w:pPr>
      <w:pStyle w:val="Header"/>
      <w:jc w:val="right"/>
      <w:rPr>
        <w:color w:val="333333"/>
        <w:sz w:val="22"/>
        <w:szCs w:val="22"/>
        <w:lang w:val="lv-LV"/>
      </w:rPr>
    </w:pPr>
    <w:r w:rsidRPr="001D48A2">
      <w:rPr>
        <w:sz w:val="22"/>
        <w:szCs w:val="22"/>
      </w:rPr>
      <w:t>Latvijas Biozinātņu un tehnoloģiju universitāt</w:t>
    </w:r>
    <w:r w:rsidRPr="001D48A2" w:rsidR="001C0A8E">
      <w:rPr>
        <w:sz w:val="22"/>
        <w:szCs w:val="22"/>
        <w:lang w:val="lv-LV"/>
      </w:rPr>
      <w:t>i</w:t>
    </w:r>
    <w:r w:rsidR="009C21E4">
      <w:rPr>
        <w:sz w:val="22"/>
        <w:szCs w:val="22"/>
        <w:lang w:val="lv-LV"/>
      </w:rPr>
      <w:t>, turpmāk “</w:t>
    </w:r>
    <w:r w:rsidR="001C475E">
      <w:rPr>
        <w:sz w:val="22"/>
        <w:szCs w:val="22"/>
        <w:lang w:val="lv-LV"/>
      </w:rPr>
      <w:t>LTBU”</w:t>
    </w:r>
  </w:p>
  <w:p w:rsidR="00343481" w:rsidRPr="001D48A2" w:rsidP="00343481" w14:paraId="5AE07593" w14:textId="0071DBEB">
    <w:pPr>
      <w:pStyle w:val="Header"/>
      <w:rPr>
        <w:sz w:val="22"/>
        <w:szCs w:val="22"/>
      </w:rPr>
    </w:pPr>
    <w:r w:rsidRPr="001D48A2">
      <w:rPr>
        <w:b/>
        <w:smallCaps/>
        <w:color w:val="333333"/>
        <w:sz w:val="22"/>
        <w:szCs w:val="22"/>
      </w:rPr>
      <w:t xml:space="preserve">                                                                                                                                                                                                                           </w:t>
    </w:r>
  </w:p>
  <w:p w:rsidR="00CD5B5F" w:rsidRPr="001D48A2" w:rsidP="00343481" w14:paraId="46DD94F5" w14:textId="27ECA807">
    <w:pPr>
      <w:pStyle w:val="Header"/>
      <w:tabs>
        <w:tab w:val="clear" w:pos="4153"/>
        <w:tab w:val="left" w:pos="7212"/>
        <w:tab w:val="clear" w:pos="8306"/>
      </w:tabs>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A71925"/>
    <w:multiLevelType w:val="multilevel"/>
    <w:tmpl w:val="AB4E3AC0"/>
    <w:lvl w:ilvl="0">
      <w:start w:val="3"/>
      <w:numFmt w:val="decimal"/>
      <w:lvlText w:val="%1."/>
      <w:lvlJc w:val="left"/>
      <w:pPr>
        <w:ind w:left="360" w:hanging="360"/>
      </w:pPr>
      <w:rPr>
        <w:rFonts w:hint="default"/>
      </w:rPr>
    </w:lvl>
    <w:lvl w:ilvl="1">
      <w:start w:val="2"/>
      <w:numFmt w:val="decimal"/>
      <w:lvlText w:val="%1.%2."/>
      <w:lvlJc w:val="left"/>
      <w:pPr>
        <w:ind w:left="501" w:hanging="360"/>
      </w:pPr>
      <w:rPr>
        <w:rFonts w:hint="default"/>
      </w:rPr>
    </w:lvl>
    <w:lvl w:ilvl="2">
      <w:start w:val="1"/>
      <w:numFmt w:val="decimal"/>
      <w:lvlText w:val="%1.%2.%3."/>
      <w:lvlJc w:val="left"/>
      <w:pPr>
        <w:ind w:left="1995"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1">
    <w:nsid w:val="379E66C3"/>
    <w:multiLevelType w:val="hybridMultilevel"/>
    <w:tmpl w:val="458C5A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43A9669E"/>
    <w:multiLevelType w:val="hybridMultilevel"/>
    <w:tmpl w:val="610200A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
    <w:nsid w:val="7D4E5FFE"/>
    <w:multiLevelType w:val="multilevel"/>
    <w:tmpl w:val="C9BCC726"/>
    <w:lvl w:ilvl="0">
      <w:start w:val="1"/>
      <w:numFmt w:val="decimal"/>
      <w:lvlText w:val="%1."/>
      <w:lvlJc w:val="left"/>
      <w:pPr>
        <w:ind w:left="360" w:hanging="360"/>
      </w:pPr>
      <w:rPr>
        <w:rFonts w:cs="Times New Roman" w:hint="default"/>
      </w:rPr>
    </w:lvl>
    <w:lvl w:ilvl="1">
      <w:start w:val="1"/>
      <w:numFmt w:val="decimal"/>
      <w:lvlText w:val="%1.%2."/>
      <w:lvlJc w:val="left"/>
      <w:pPr>
        <w:ind w:left="1352"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Zero"/>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B6C"/>
    <w:rsid w:val="00031D89"/>
    <w:rsid w:val="00035308"/>
    <w:rsid w:val="00054592"/>
    <w:rsid w:val="00055DA6"/>
    <w:rsid w:val="00057513"/>
    <w:rsid w:val="00065E26"/>
    <w:rsid w:val="000A32B5"/>
    <w:rsid w:val="000B5BF1"/>
    <w:rsid w:val="0015050E"/>
    <w:rsid w:val="0015123D"/>
    <w:rsid w:val="001541D3"/>
    <w:rsid w:val="0015424E"/>
    <w:rsid w:val="00157088"/>
    <w:rsid w:val="00172910"/>
    <w:rsid w:val="00192663"/>
    <w:rsid w:val="00192E94"/>
    <w:rsid w:val="00192F1E"/>
    <w:rsid w:val="00197725"/>
    <w:rsid w:val="001C0A8E"/>
    <w:rsid w:val="001C475E"/>
    <w:rsid w:val="001C55EA"/>
    <w:rsid w:val="001D0DC4"/>
    <w:rsid w:val="001D48A2"/>
    <w:rsid w:val="001F456F"/>
    <w:rsid w:val="00224563"/>
    <w:rsid w:val="00230C7A"/>
    <w:rsid w:val="0026394C"/>
    <w:rsid w:val="002A33C1"/>
    <w:rsid w:val="002C08AD"/>
    <w:rsid w:val="00303D09"/>
    <w:rsid w:val="00343481"/>
    <w:rsid w:val="00361EEE"/>
    <w:rsid w:val="00372214"/>
    <w:rsid w:val="00375B6C"/>
    <w:rsid w:val="00384BDF"/>
    <w:rsid w:val="003864C5"/>
    <w:rsid w:val="00394C36"/>
    <w:rsid w:val="003C6BE1"/>
    <w:rsid w:val="003D3DBA"/>
    <w:rsid w:val="003D6A10"/>
    <w:rsid w:val="00411DC2"/>
    <w:rsid w:val="00416F25"/>
    <w:rsid w:val="004303A2"/>
    <w:rsid w:val="0044601C"/>
    <w:rsid w:val="00454452"/>
    <w:rsid w:val="00485FD1"/>
    <w:rsid w:val="00492665"/>
    <w:rsid w:val="004B084E"/>
    <w:rsid w:val="004B4F9A"/>
    <w:rsid w:val="004B5F55"/>
    <w:rsid w:val="004C05BC"/>
    <w:rsid w:val="00521087"/>
    <w:rsid w:val="005254BF"/>
    <w:rsid w:val="005742B3"/>
    <w:rsid w:val="00574A82"/>
    <w:rsid w:val="005E22D8"/>
    <w:rsid w:val="005E27DE"/>
    <w:rsid w:val="005F42A9"/>
    <w:rsid w:val="005F62C2"/>
    <w:rsid w:val="006005BB"/>
    <w:rsid w:val="006114AB"/>
    <w:rsid w:val="00626E9D"/>
    <w:rsid w:val="00630208"/>
    <w:rsid w:val="0063639F"/>
    <w:rsid w:val="00644DED"/>
    <w:rsid w:val="0065290C"/>
    <w:rsid w:val="00655474"/>
    <w:rsid w:val="006633CC"/>
    <w:rsid w:val="006B3D96"/>
    <w:rsid w:val="006B799D"/>
    <w:rsid w:val="006B7B67"/>
    <w:rsid w:val="006D2882"/>
    <w:rsid w:val="006E06B2"/>
    <w:rsid w:val="006E3E1B"/>
    <w:rsid w:val="006E47FA"/>
    <w:rsid w:val="00706AFA"/>
    <w:rsid w:val="0074675B"/>
    <w:rsid w:val="007B5B4F"/>
    <w:rsid w:val="007D1062"/>
    <w:rsid w:val="007E5008"/>
    <w:rsid w:val="007E6926"/>
    <w:rsid w:val="007E6A0A"/>
    <w:rsid w:val="008228D6"/>
    <w:rsid w:val="008A0DD0"/>
    <w:rsid w:val="008E3111"/>
    <w:rsid w:val="00934D42"/>
    <w:rsid w:val="00965BCB"/>
    <w:rsid w:val="009962CD"/>
    <w:rsid w:val="009C21E4"/>
    <w:rsid w:val="009D148B"/>
    <w:rsid w:val="009E7D08"/>
    <w:rsid w:val="00A0729E"/>
    <w:rsid w:val="00A11B14"/>
    <w:rsid w:val="00A22ACC"/>
    <w:rsid w:val="00A31263"/>
    <w:rsid w:val="00A3327D"/>
    <w:rsid w:val="00A556F3"/>
    <w:rsid w:val="00A641DC"/>
    <w:rsid w:val="00A85767"/>
    <w:rsid w:val="00AD4DB5"/>
    <w:rsid w:val="00AE713C"/>
    <w:rsid w:val="00B16D6B"/>
    <w:rsid w:val="00B53FAE"/>
    <w:rsid w:val="00B56ACB"/>
    <w:rsid w:val="00B6205E"/>
    <w:rsid w:val="00BC204A"/>
    <w:rsid w:val="00BC6D79"/>
    <w:rsid w:val="00BD292C"/>
    <w:rsid w:val="00BE24E3"/>
    <w:rsid w:val="00C559C5"/>
    <w:rsid w:val="00C95BF3"/>
    <w:rsid w:val="00CB2352"/>
    <w:rsid w:val="00CD0A06"/>
    <w:rsid w:val="00CD5B5F"/>
    <w:rsid w:val="00D04C95"/>
    <w:rsid w:val="00D1059A"/>
    <w:rsid w:val="00D20B5F"/>
    <w:rsid w:val="00D36F5A"/>
    <w:rsid w:val="00DC6060"/>
    <w:rsid w:val="00DD2E65"/>
    <w:rsid w:val="00DF6A3B"/>
    <w:rsid w:val="00E2168A"/>
    <w:rsid w:val="00E24927"/>
    <w:rsid w:val="00E266EB"/>
    <w:rsid w:val="00E3681F"/>
    <w:rsid w:val="00E565F0"/>
    <w:rsid w:val="00E72DC8"/>
    <w:rsid w:val="00E840CF"/>
    <w:rsid w:val="00EB1E0E"/>
    <w:rsid w:val="00F036A8"/>
    <w:rsid w:val="00F20749"/>
    <w:rsid w:val="00F35155"/>
    <w:rsid w:val="00F35192"/>
    <w:rsid w:val="00F417B7"/>
    <w:rsid w:val="00F63113"/>
    <w:rsid w:val="00F66FEA"/>
    <w:rsid w:val="00F81BB0"/>
    <w:rsid w:val="00F847C2"/>
    <w:rsid w:val="00FC5403"/>
    <w:rsid w:val="00FE3E3C"/>
  </w:rsids>
  <m:mathPr>
    <m:mathFont m:val="Cambria Math"/>
  </m:mathPr>
  <w:themeFontLang w:val="en-US" w:bidi="lo-LA"/>
  <w:clrSchemeMapping w:bg1="light1" w:t1="dark1" w:bg2="light2" w:t2="dark2" w:accent1="accent1" w:accent2="accent2" w:accent3="accent3" w:accent4="accent4" w:accent5="accent5" w:accent6="accent6" w:hyperlink="hyperlink" w:followedHyperlink="followedHyperlink"/>
  <w14:docId w14:val="71690780"/>
  <w15:chartTrackingRefBased/>
  <w15:docId w15:val="{CA03B374-035E-47C7-B88A-5196DB8DF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B6C"/>
    <w:pPr>
      <w:spacing w:after="0" w:line="240" w:lineRule="auto"/>
    </w:pPr>
    <w:rPr>
      <w:rFonts w:ascii="Times New Roman" w:eastAsia="Times New Roman" w:hAnsi="Times New Roman" w:cs="Times New Roman"/>
      <w:sz w:val="24"/>
      <w:szCs w:val="24"/>
      <w:lang w:val="lv-LV" w:eastAsia="lv-LV"/>
    </w:rPr>
  </w:style>
  <w:style w:type="paragraph" w:styleId="Heading1">
    <w:name w:val="heading 1"/>
    <w:basedOn w:val="Normal"/>
    <w:next w:val="Normal"/>
    <w:link w:val="Heading1Char"/>
    <w:qFormat/>
    <w:rsid w:val="0044601C"/>
    <w:pPr>
      <w:keepNext/>
      <w:jc w:val="center"/>
      <w:outlineLvl w:val="0"/>
    </w:pPr>
    <w:rPr>
      <w:b/>
      <w:bCs/>
      <w:sz w:val="32"/>
      <w:lang w:eastAsia="en-US"/>
    </w:rPr>
  </w:style>
  <w:style w:type="paragraph" w:styleId="Heading3">
    <w:name w:val="heading 3"/>
    <w:basedOn w:val="Normal"/>
    <w:next w:val="Normal"/>
    <w:link w:val="Heading3Char"/>
    <w:uiPriority w:val="9"/>
    <w:semiHidden/>
    <w:unhideWhenUsed/>
    <w:qFormat/>
    <w:rsid w:val="009E7D08"/>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375B6C"/>
    <w:rPr>
      <w:rFonts w:cs="Times New Roman"/>
      <w:b/>
      <w:bCs/>
    </w:rPr>
  </w:style>
  <w:style w:type="character" w:styleId="Hyperlink">
    <w:name w:val="Hyperlink"/>
    <w:basedOn w:val="DefaultParagraphFont"/>
    <w:uiPriority w:val="99"/>
    <w:rsid w:val="00375B6C"/>
    <w:rPr>
      <w:rFonts w:cs="Times New Roman"/>
      <w:color w:val="40407C"/>
      <w:u w:val="none"/>
      <w:effect w:val="none"/>
    </w:rPr>
  </w:style>
  <w:style w:type="paragraph" w:styleId="ListParagraph">
    <w:name w:val="List Paragraph"/>
    <w:basedOn w:val="Normal"/>
    <w:uiPriority w:val="99"/>
    <w:qFormat/>
    <w:rsid w:val="00375B6C"/>
    <w:pPr>
      <w:ind w:left="720"/>
      <w:contextualSpacing/>
    </w:pPr>
  </w:style>
  <w:style w:type="character" w:styleId="CommentReference">
    <w:name w:val="annotation reference"/>
    <w:basedOn w:val="DefaultParagraphFont"/>
    <w:uiPriority w:val="99"/>
    <w:semiHidden/>
    <w:unhideWhenUsed/>
    <w:rsid w:val="00375B6C"/>
    <w:rPr>
      <w:sz w:val="16"/>
      <w:szCs w:val="16"/>
    </w:rPr>
  </w:style>
  <w:style w:type="paragraph" w:styleId="CommentText">
    <w:name w:val="annotation text"/>
    <w:basedOn w:val="Normal"/>
    <w:link w:val="CommentTextChar"/>
    <w:uiPriority w:val="99"/>
    <w:unhideWhenUsed/>
    <w:rsid w:val="00375B6C"/>
    <w:rPr>
      <w:sz w:val="20"/>
      <w:szCs w:val="20"/>
    </w:rPr>
  </w:style>
  <w:style w:type="character" w:customStyle="1" w:styleId="CommentTextChar">
    <w:name w:val="Comment Text Char"/>
    <w:basedOn w:val="DefaultParagraphFont"/>
    <w:link w:val="CommentText"/>
    <w:uiPriority w:val="99"/>
    <w:rsid w:val="00375B6C"/>
    <w:rPr>
      <w:rFonts w:ascii="Times New Roman" w:eastAsia="Times New Roman" w:hAnsi="Times New Roman" w:cs="Times New Roman"/>
      <w:sz w:val="20"/>
      <w:szCs w:val="20"/>
      <w:lang w:val="lv-LV" w:eastAsia="lv-LV"/>
    </w:rPr>
  </w:style>
  <w:style w:type="paragraph" w:styleId="CommentSubject">
    <w:name w:val="annotation subject"/>
    <w:basedOn w:val="CommentText"/>
    <w:next w:val="CommentText"/>
    <w:link w:val="CommentSubjectChar"/>
    <w:uiPriority w:val="99"/>
    <w:semiHidden/>
    <w:unhideWhenUsed/>
    <w:rsid w:val="00375B6C"/>
    <w:rPr>
      <w:b/>
      <w:bCs/>
    </w:rPr>
  </w:style>
  <w:style w:type="character" w:customStyle="1" w:styleId="CommentSubjectChar">
    <w:name w:val="Comment Subject Char"/>
    <w:basedOn w:val="CommentTextChar"/>
    <w:link w:val="CommentSubject"/>
    <w:uiPriority w:val="99"/>
    <w:semiHidden/>
    <w:rsid w:val="00375B6C"/>
    <w:rPr>
      <w:rFonts w:ascii="Times New Roman" w:eastAsia="Times New Roman" w:hAnsi="Times New Roman" w:cs="Times New Roman"/>
      <w:b/>
      <w:bCs/>
      <w:sz w:val="20"/>
      <w:szCs w:val="20"/>
      <w:lang w:val="lv-LV" w:eastAsia="lv-LV"/>
    </w:rPr>
  </w:style>
  <w:style w:type="paragraph" w:styleId="BalloonText">
    <w:name w:val="Balloon Text"/>
    <w:basedOn w:val="Normal"/>
    <w:link w:val="BalloonTextChar"/>
    <w:uiPriority w:val="99"/>
    <w:semiHidden/>
    <w:unhideWhenUsed/>
    <w:rsid w:val="00375B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5B6C"/>
    <w:rPr>
      <w:rFonts w:ascii="Segoe UI" w:eastAsia="Times New Roman" w:hAnsi="Segoe UI" w:cs="Segoe UI"/>
      <w:sz w:val="18"/>
      <w:szCs w:val="18"/>
      <w:lang w:val="lv-LV" w:eastAsia="lv-LV"/>
    </w:rPr>
  </w:style>
  <w:style w:type="character" w:customStyle="1" w:styleId="Heading1Char">
    <w:name w:val="Heading 1 Char"/>
    <w:basedOn w:val="DefaultParagraphFont"/>
    <w:link w:val="Heading1"/>
    <w:rsid w:val="0044601C"/>
    <w:rPr>
      <w:rFonts w:ascii="Times New Roman" w:eastAsia="Times New Roman" w:hAnsi="Times New Roman" w:cs="Times New Roman"/>
      <w:b/>
      <w:bCs/>
      <w:sz w:val="32"/>
      <w:szCs w:val="24"/>
      <w:lang w:val="lv-LV"/>
    </w:rPr>
  </w:style>
  <w:style w:type="paragraph" w:styleId="Header">
    <w:name w:val="header"/>
    <w:basedOn w:val="Normal"/>
    <w:link w:val="HeaderChar"/>
    <w:uiPriority w:val="99"/>
    <w:rsid w:val="0044601C"/>
    <w:pPr>
      <w:tabs>
        <w:tab w:val="center" w:pos="4153"/>
        <w:tab w:val="right" w:pos="8306"/>
      </w:tabs>
    </w:pPr>
    <w:rPr>
      <w:lang w:val="x-none" w:eastAsia="en-US"/>
    </w:rPr>
  </w:style>
  <w:style w:type="character" w:customStyle="1" w:styleId="HeaderChar">
    <w:name w:val="Header Char"/>
    <w:basedOn w:val="DefaultParagraphFont"/>
    <w:link w:val="Header"/>
    <w:uiPriority w:val="99"/>
    <w:rsid w:val="0044601C"/>
    <w:rPr>
      <w:rFonts w:ascii="Times New Roman" w:eastAsia="Times New Roman" w:hAnsi="Times New Roman" w:cs="Times New Roman"/>
      <w:sz w:val="24"/>
      <w:szCs w:val="24"/>
      <w:lang w:val="x-none"/>
    </w:rPr>
  </w:style>
  <w:style w:type="paragraph" w:styleId="FootnoteText">
    <w:name w:val="footnote text"/>
    <w:basedOn w:val="Normal"/>
    <w:link w:val="FootnoteTextChar"/>
    <w:uiPriority w:val="99"/>
    <w:rsid w:val="0044601C"/>
    <w:rPr>
      <w:sz w:val="20"/>
      <w:szCs w:val="20"/>
      <w:lang w:eastAsia="en-US"/>
    </w:rPr>
  </w:style>
  <w:style w:type="character" w:customStyle="1" w:styleId="FootnoteTextChar">
    <w:name w:val="Footnote Text Char"/>
    <w:basedOn w:val="DefaultParagraphFont"/>
    <w:link w:val="FootnoteText"/>
    <w:uiPriority w:val="99"/>
    <w:qFormat/>
    <w:rsid w:val="0044601C"/>
    <w:rPr>
      <w:rFonts w:ascii="Times New Roman" w:eastAsia="Times New Roman" w:hAnsi="Times New Roman" w:cs="Times New Roman"/>
      <w:sz w:val="20"/>
      <w:szCs w:val="20"/>
      <w:lang w:val="lv-LV"/>
    </w:rPr>
  </w:style>
  <w:style w:type="paragraph" w:customStyle="1" w:styleId="tv20787921">
    <w:name w:val="tv207_87_921"/>
    <w:basedOn w:val="Normal"/>
    <w:rsid w:val="0044601C"/>
    <w:pPr>
      <w:spacing w:after="567" w:line="360" w:lineRule="auto"/>
      <w:jc w:val="center"/>
    </w:pPr>
    <w:rPr>
      <w:rFonts w:ascii="Verdana" w:hAnsi="Verdana"/>
      <w:b/>
      <w:bCs/>
      <w:sz w:val="28"/>
      <w:szCs w:val="28"/>
    </w:rPr>
  </w:style>
  <w:style w:type="character" w:customStyle="1" w:styleId="apple-converted-space">
    <w:name w:val="apple-converted-space"/>
    <w:rsid w:val="0044601C"/>
  </w:style>
  <w:style w:type="paragraph" w:customStyle="1" w:styleId="Default">
    <w:name w:val="Default"/>
    <w:rsid w:val="0044601C"/>
    <w:pPr>
      <w:autoSpaceDE w:val="0"/>
      <w:autoSpaceDN w:val="0"/>
      <w:adjustRightInd w:val="0"/>
      <w:spacing w:after="0" w:line="240" w:lineRule="auto"/>
    </w:pPr>
    <w:rPr>
      <w:rFonts w:ascii="Times New Roman" w:eastAsia="Times New Roman" w:hAnsi="Times New Roman" w:cs="Times New Roman"/>
      <w:color w:val="000000"/>
      <w:sz w:val="24"/>
      <w:szCs w:val="24"/>
      <w:lang w:val="lv-LV" w:eastAsia="lv-LV"/>
    </w:rPr>
  </w:style>
  <w:style w:type="character" w:styleId="FootnoteReference">
    <w:name w:val="footnote reference"/>
    <w:qFormat/>
    <w:rsid w:val="00172910"/>
    <w:rPr>
      <w:vertAlign w:val="superscript"/>
    </w:rPr>
  </w:style>
  <w:style w:type="paragraph" w:customStyle="1" w:styleId="doc-ti">
    <w:name w:val="doc-ti"/>
    <w:basedOn w:val="Normal"/>
    <w:rsid w:val="00FC5403"/>
    <w:pPr>
      <w:spacing w:before="100" w:beforeAutospacing="1" w:after="100" w:afterAutospacing="1"/>
    </w:pPr>
  </w:style>
  <w:style w:type="character" w:styleId="FollowedHyperlink">
    <w:name w:val="FollowedHyperlink"/>
    <w:basedOn w:val="DefaultParagraphFont"/>
    <w:uiPriority w:val="99"/>
    <w:semiHidden/>
    <w:unhideWhenUsed/>
    <w:rsid w:val="00D04C95"/>
    <w:rPr>
      <w:color w:val="954F72" w:themeColor="followedHyperlink"/>
      <w:u w:val="single"/>
    </w:rPr>
  </w:style>
  <w:style w:type="character" w:customStyle="1" w:styleId="Heading3Char">
    <w:name w:val="Heading 3 Char"/>
    <w:basedOn w:val="DefaultParagraphFont"/>
    <w:link w:val="Heading3"/>
    <w:uiPriority w:val="9"/>
    <w:semiHidden/>
    <w:rsid w:val="009E7D08"/>
    <w:rPr>
      <w:rFonts w:asciiTheme="majorHAnsi" w:eastAsiaTheme="majorEastAsia" w:hAnsiTheme="majorHAnsi" w:cstheme="majorBidi"/>
      <w:color w:val="1F4D78" w:themeColor="accent1" w:themeShade="7F"/>
      <w:sz w:val="24"/>
      <w:szCs w:val="24"/>
      <w:lang w:val="lv-LV" w:eastAsia="lv-LV"/>
    </w:rPr>
  </w:style>
  <w:style w:type="paragraph" w:styleId="Footer">
    <w:name w:val="footer"/>
    <w:basedOn w:val="Normal"/>
    <w:link w:val="FooterChar"/>
    <w:uiPriority w:val="99"/>
    <w:unhideWhenUsed/>
    <w:rsid w:val="00CD5B5F"/>
    <w:pPr>
      <w:tabs>
        <w:tab w:val="center" w:pos="4153"/>
        <w:tab w:val="right" w:pos="8306"/>
      </w:tabs>
    </w:pPr>
  </w:style>
  <w:style w:type="character" w:customStyle="1" w:styleId="FooterChar">
    <w:name w:val="Footer Char"/>
    <w:basedOn w:val="DefaultParagraphFont"/>
    <w:link w:val="Footer"/>
    <w:uiPriority w:val="99"/>
    <w:rsid w:val="00CD5B5F"/>
    <w:rPr>
      <w:rFonts w:ascii="Times New Roman" w:eastAsia="Times New Roman" w:hAnsi="Times New Roman" w:cs="Times New Roman"/>
      <w:sz w:val="24"/>
      <w:szCs w:val="24"/>
      <w:lang w:val="lv-LV" w:eastAsia="lv-LV"/>
    </w:rPr>
  </w:style>
  <w:style w:type="paragraph" w:styleId="Revision">
    <w:name w:val="Revision"/>
    <w:hidden/>
    <w:uiPriority w:val="99"/>
    <w:semiHidden/>
    <w:rsid w:val="004C05BC"/>
    <w:pPr>
      <w:spacing w:after="0" w:line="240" w:lineRule="auto"/>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footnotes.xml.rels><?xml version="1.0" encoding="utf-8" standalone="yes"?><Relationships xmlns="http://schemas.openxmlformats.org/package/2006/relationships"><Relationship Id="rId1" Type="http://schemas.openxmlformats.org/officeDocument/2006/relationships/hyperlink" Target="https://unfccc.int/sites/default/files/resource/cma2018_3_add2_new_advance.pd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F4D30-0599-4503-B5A7-6C3B3F21D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5110</Words>
  <Characters>2914</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Ošleja</dc:creator>
  <cp:lastModifiedBy>Anita Veikina</cp:lastModifiedBy>
  <cp:revision>11</cp:revision>
  <cp:lastPrinted>2018-02-26T09:45:00Z</cp:lastPrinted>
  <dcterms:created xsi:type="dcterms:W3CDTF">2023-05-15T11:57:00Z</dcterms:created>
  <dcterms:modified xsi:type="dcterms:W3CDTF">2023-06-05T07:40:00Z</dcterms:modified>
</cp:coreProperties>
</file>