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ackground w:color="ffffff">
    <v:background id="_x0000_s1025" filled="t"/>
  </w:background>
  <w:body>
    <w:p w:rsidR="00DA53EA" w14:paraId="57394EE5" w14:textId="77777777">
      <w:pPr>
        <w:spacing w:line="0" w:lineRule="atLeast"/>
        <w:jc w:val="right"/>
      </w:pPr>
      <w:r>
        <w:rPr>
          <w:b/>
          <w:bCs/>
          <w:sz w:val="22"/>
        </w:rPr>
        <w:t xml:space="preserve">1. pielikums </w:t>
      </w:r>
      <w:r>
        <w:rPr>
          <w:b/>
          <w:sz w:val="22"/>
        </w:rPr>
        <w:t>līgumam</w:t>
      </w:r>
      <w:r w:rsidR="001B4838">
        <w:rPr>
          <w:b/>
          <w:sz w:val="22"/>
        </w:rPr>
        <w:t xml:space="preserve"> Nr.</w:t>
      </w:r>
      <w:r>
        <w:rPr>
          <w:b/>
          <w:sz w:val="22"/>
        </w:rPr>
        <w:t xml:space="preserve"> </w:t>
      </w:r>
      <w:r w:rsidRPr="00A42718" w:rsidR="001B4838">
        <w:rPr>
          <w:b/>
          <w:noProof/>
          <w:sz w:val="22"/>
          <w:szCs w:val="22"/>
        </w:rPr>
        <w:t>PL/2023/9/KEM</w:t>
      </w:r>
    </w:p>
    <w:p w:rsidR="00DA53EA" w14:paraId="4C948FA4" w14:textId="77777777">
      <w:pPr>
        <w:spacing w:line="0" w:lineRule="atLeast"/>
        <w:jc w:val="right"/>
      </w:pPr>
      <w:r w:rsidRPr="6F19E238">
        <w:rPr>
          <w:sz w:val="22"/>
          <w:szCs w:val="22"/>
        </w:rPr>
        <w:t xml:space="preserve">starp </w:t>
      </w:r>
      <w:r w:rsidRPr="6F19E238" w:rsidR="002A03F2">
        <w:rPr>
          <w:sz w:val="22"/>
          <w:szCs w:val="22"/>
        </w:rPr>
        <w:t>Klimata un enerģētikas</w:t>
      </w:r>
      <w:r w:rsidRPr="6F19E238">
        <w:rPr>
          <w:sz w:val="22"/>
          <w:szCs w:val="22"/>
        </w:rPr>
        <w:t xml:space="preserve"> ministriju </w:t>
      </w:r>
    </w:p>
    <w:p w:rsidR="00DA53EA" w14:paraId="7A57685B" w14:textId="77777777">
      <w:pPr>
        <w:spacing w:line="0" w:lineRule="atLeast"/>
        <w:jc w:val="right"/>
      </w:pPr>
      <w:r>
        <w:rPr>
          <w:sz w:val="22"/>
        </w:rPr>
        <w:t>turpmāk “Ministrija” un</w:t>
      </w:r>
    </w:p>
    <w:p w:rsidR="00DA53EA" w14:paraId="064B6CD7" w14:textId="77777777">
      <w:pPr>
        <w:pStyle w:val="Footer"/>
        <w:spacing w:line="240" w:lineRule="atLeast"/>
        <w:jc w:val="right"/>
      </w:pPr>
      <w:r>
        <w:t>Latvijas</w:t>
      </w:r>
      <w:r w:rsidRPr="000E48AC">
        <w:rPr>
          <w:lang w:val="lv-LV"/>
        </w:rPr>
        <w:t xml:space="preserve"> </w:t>
      </w:r>
      <w:r w:rsidRPr="000E48AC" w:rsidR="00B453A2">
        <w:rPr>
          <w:lang w:val="lv-LV"/>
        </w:rPr>
        <w:t>V</w:t>
      </w:r>
      <w:r w:rsidRPr="000E48AC" w:rsidR="003106BE">
        <w:rPr>
          <w:lang w:val="lv-LV"/>
        </w:rPr>
        <w:t>alsts</w:t>
      </w:r>
      <w:r w:rsidRPr="000E48AC">
        <w:rPr>
          <w:lang w:val="lv-LV"/>
        </w:rPr>
        <w:t xml:space="preserve"> mežzinātnes</w:t>
      </w:r>
      <w:r>
        <w:t xml:space="preserve"> institūt</w:t>
      </w:r>
      <w:r w:rsidR="00B91858">
        <w:rPr>
          <w:lang w:val="lv-LV"/>
        </w:rPr>
        <w:t>u</w:t>
      </w:r>
      <w:r w:rsidR="00B453A2">
        <w:rPr>
          <w:lang w:val="lv-LV"/>
        </w:rPr>
        <w:t xml:space="preserve"> “</w:t>
      </w:r>
      <w:r>
        <w:t>Silava”</w:t>
      </w:r>
      <w:r>
        <w:rPr>
          <w:sz w:val="22"/>
        </w:rPr>
        <w:t>, turpmāk "</w:t>
      </w:r>
      <w:r>
        <w:rPr>
          <w:sz w:val="22"/>
          <w:lang w:val="lv-LV"/>
        </w:rPr>
        <w:t>SILAVA</w:t>
      </w:r>
      <w:r>
        <w:rPr>
          <w:sz w:val="22"/>
        </w:rPr>
        <w:t>"</w:t>
      </w:r>
    </w:p>
    <w:p w:rsidR="00DA53EA" w14:paraId="169B184C" w14:textId="77777777">
      <w:pPr>
        <w:pStyle w:val="ListParagraph"/>
        <w:ind w:left="0"/>
        <w:jc w:val="right"/>
      </w:pPr>
    </w:p>
    <w:p w:rsidR="00B91858" w14:paraId="56FFEB2F" w14:textId="77777777">
      <w:pPr>
        <w:pStyle w:val="ListParagraph"/>
        <w:ind w:left="0"/>
        <w:jc w:val="right"/>
      </w:pPr>
    </w:p>
    <w:p w:rsidR="00DA53EA" w14:paraId="32EE402B" w14:textId="435114BA">
      <w:pPr>
        <w:pStyle w:val="ListParagraph"/>
        <w:ind w:left="0"/>
        <w:jc w:val="center"/>
        <w:rPr>
          <w:b/>
        </w:rPr>
      </w:pPr>
      <w:r>
        <w:rPr>
          <w:b/>
        </w:rPr>
        <w:t>Latvijas</w:t>
      </w:r>
      <w:r w:rsidRPr="000E48AC">
        <w:rPr>
          <w:b/>
          <w:lang w:val="lv-LV"/>
        </w:rPr>
        <w:t xml:space="preserve"> </w:t>
      </w:r>
      <w:r w:rsidRPr="000E48AC" w:rsidR="00B453A2">
        <w:rPr>
          <w:b/>
          <w:lang w:val="lv-LV"/>
        </w:rPr>
        <w:t>V</w:t>
      </w:r>
      <w:r w:rsidRPr="000E48AC" w:rsidR="003106BE">
        <w:rPr>
          <w:b/>
          <w:lang w:val="lv-LV"/>
        </w:rPr>
        <w:t>alsts</w:t>
      </w:r>
      <w:r w:rsidRPr="000E48AC">
        <w:rPr>
          <w:b/>
          <w:lang w:val="lv-LV"/>
        </w:rPr>
        <w:t xml:space="preserve"> mežzinātnes</w:t>
      </w:r>
      <w:r>
        <w:rPr>
          <w:b/>
        </w:rPr>
        <w:t xml:space="preserve"> institūt</w:t>
      </w:r>
      <w:r>
        <w:rPr>
          <w:b/>
          <w:lang w:val="lv-LV"/>
        </w:rPr>
        <w:t>am</w:t>
      </w:r>
      <w:r>
        <w:rPr>
          <w:b/>
        </w:rPr>
        <w:t xml:space="preserve"> </w:t>
      </w:r>
      <w:r w:rsidR="00B453A2">
        <w:rPr>
          <w:b/>
          <w:lang w:val="lv-LV"/>
        </w:rPr>
        <w:t>“</w:t>
      </w:r>
      <w:r>
        <w:rPr>
          <w:b/>
        </w:rPr>
        <w:t>Silava”</w:t>
      </w:r>
      <w:r>
        <w:t xml:space="preserve"> </w:t>
      </w:r>
      <w:r w:rsidRPr="38525C4C">
        <w:rPr>
          <w:b/>
        </w:rPr>
        <w:t xml:space="preserve">deleģētie pārvaldes uzdevumi </w:t>
      </w:r>
      <w:r w:rsidRPr="38525C4C" w:rsidR="643C540C">
        <w:rPr>
          <w:b/>
          <w:bCs/>
        </w:rPr>
        <w:t>202</w:t>
      </w:r>
      <w:r w:rsidRPr="38525C4C" w:rsidR="6D738DE6">
        <w:rPr>
          <w:b/>
          <w:bCs/>
          <w:lang w:val="lv-LV"/>
        </w:rPr>
        <w:t>3</w:t>
      </w:r>
      <w:r w:rsidRPr="38525C4C" w:rsidR="7D20AD99">
        <w:rPr>
          <w:b/>
          <w:bCs/>
        </w:rPr>
        <w:t>.</w:t>
      </w:r>
      <w:r w:rsidRPr="38525C4C">
        <w:rPr>
          <w:b/>
        </w:rPr>
        <w:t> gadā</w:t>
      </w:r>
    </w:p>
    <w:p w:rsidR="00DA53EA" w14:paraId="79208025" w14:textId="77777777">
      <w:pPr>
        <w:spacing w:after="120"/>
        <w:jc w:val="both"/>
        <w:rPr>
          <w:b/>
          <w:sz w:val="22"/>
        </w:rPr>
      </w:pPr>
    </w:p>
    <w:p w:rsidR="00DA53EA" w:rsidP="003106BE" w14:paraId="6EE0F311" w14:textId="48EFB49D">
      <w:pPr>
        <w:ind w:left="284" w:hanging="284"/>
        <w:jc w:val="both"/>
      </w:pPr>
      <w:r>
        <w:t>1. 2023. gada siltumnīcefekta gāzu (turpmāk – SEG) inventarizācijas papildināšana zemes izmantošanas, zemes izmantošanas maiņas un mežsaimniecības (turpmāk – ZIZIMM) sektoram saskaņā ar 2022. gada 21. aprīlī starp Ministriju un SILAVA noslēgto deleģēšanas līgumu Nr. V/8/2022 tai skaitā:</w:t>
      </w:r>
    </w:p>
    <w:p w:rsidR="00DA53EA" w:rsidP="00C11CC7" w14:paraId="46D9B51B" w14:textId="1121E184">
      <w:pPr>
        <w:numPr>
          <w:ilvl w:val="1"/>
          <w:numId w:val="4"/>
        </w:numPr>
        <w:spacing w:before="80"/>
        <w:ind w:left="993" w:right="231" w:hanging="426"/>
        <w:jc w:val="both"/>
      </w:pPr>
      <w:r>
        <w:t xml:space="preserve">  sagatavot 2023. gada nacionālā inventarizācijas ziņojuma gala versiju par ZIZIMM sektoru, pēc nepieciešamības sagatavot un iestrādāt ziņojumā precizējumus;  </w:t>
      </w:r>
    </w:p>
    <w:p w:rsidR="00DA53EA" w:rsidP="00C11CC7" w14:paraId="2905B63C" w14:textId="77777777">
      <w:pPr>
        <w:numPr>
          <w:ilvl w:val="1"/>
          <w:numId w:val="4"/>
        </w:numPr>
        <w:spacing w:before="80"/>
        <w:ind w:left="993" w:right="231" w:hanging="426"/>
        <w:jc w:val="both"/>
      </w:pPr>
      <w:r>
        <w:t xml:space="preserve">veikt kvalitātes kontroles procedūras atbilstoši </w:t>
      </w:r>
      <w:r w:rsidR="7D20AD99">
        <w:t>2023.</w:t>
      </w:r>
      <w:r>
        <w:t xml:space="preserve"> gada SEG inventarizācijas sagatavošanas instrukcijai un KK/KN plānam</w:t>
      </w:r>
      <w:r>
        <w:rPr>
          <w:rStyle w:val="WW-FootnoteReference1"/>
        </w:rPr>
        <w:footnoteReference w:id="3"/>
      </w:r>
      <w:r>
        <w:t xml:space="preserve">; </w:t>
      </w:r>
    </w:p>
    <w:p w:rsidR="00DA53EA" w:rsidP="00C11CC7" w14:paraId="5B2CE513" w14:textId="7DFF27EF">
      <w:pPr>
        <w:numPr>
          <w:ilvl w:val="1"/>
          <w:numId w:val="4"/>
        </w:numPr>
        <w:spacing w:before="80"/>
        <w:ind w:left="993" w:right="231" w:hanging="426"/>
        <w:jc w:val="both"/>
      </w:pPr>
      <w:r>
        <w:t xml:space="preserve">saskaņā ar Ministrijas pieprasījumu piedalīties komentāru/atbilžu sagatavošanā par </w:t>
      </w:r>
      <w:r w:rsidR="7D20AD99">
        <w:t>20</w:t>
      </w:r>
      <w:r w:rsidR="6D738DE6">
        <w:t>2</w:t>
      </w:r>
      <w:r w:rsidR="496DBB71">
        <w:t>2</w:t>
      </w:r>
      <w:r w:rsidR="7D20AD99">
        <w:t>.</w:t>
      </w:r>
      <w:r>
        <w:t xml:space="preserve"> gada un </w:t>
      </w:r>
      <w:r w:rsidR="7D20AD99">
        <w:t>202</w:t>
      </w:r>
      <w:r w:rsidR="0548A34F">
        <w:t>3</w:t>
      </w:r>
      <w:r>
        <w:t>. gada SEG inventarizāciju ZIZIMM sektoram</w:t>
      </w:r>
      <w:r w:rsidR="006C2868">
        <w:t>;</w:t>
      </w:r>
      <w:r>
        <w:t xml:space="preserve"> </w:t>
      </w:r>
    </w:p>
    <w:p w:rsidR="00DA53EA" w:rsidP="259486F5" w14:paraId="645CFC77" w14:textId="7904B892">
      <w:pPr>
        <w:numPr>
          <w:ilvl w:val="1"/>
          <w:numId w:val="4"/>
        </w:numPr>
        <w:spacing w:before="80"/>
        <w:ind w:left="709" w:right="231" w:hanging="425"/>
        <w:jc w:val="both"/>
      </w:pPr>
      <w:r>
        <w:t xml:space="preserve">piedalīties ANO Vispārējās konvencijas par klimata pārmaiņām pārbaudē  </w:t>
      </w:r>
      <w:r w:rsidR="7D20AD99">
        <w:t>par 202</w:t>
      </w:r>
      <w:r w:rsidR="7533F181">
        <w:t>2</w:t>
      </w:r>
      <w:r w:rsidR="7D20AD99">
        <w:t>.</w:t>
      </w:r>
      <w:r>
        <w:t xml:space="preserve"> </w:t>
      </w:r>
      <w:r w:rsidR="6B9BA7E4">
        <w:t>g</w:t>
      </w:r>
      <w:r>
        <w:t xml:space="preserve">ada </w:t>
      </w:r>
      <w:r w:rsidR="6DC5C66D">
        <w:t xml:space="preserve">un 2023. gada </w:t>
      </w:r>
      <w:r>
        <w:t xml:space="preserve">SEG inventarizāciju 1990. - </w:t>
      </w:r>
      <w:r w:rsidR="7D20AD99">
        <w:t>20</w:t>
      </w:r>
      <w:r w:rsidR="6D738DE6">
        <w:t>2</w:t>
      </w:r>
      <w:r w:rsidR="108B5B8B">
        <w:t>1</w:t>
      </w:r>
      <w:r w:rsidR="7D20AD99">
        <w:t>.</w:t>
      </w:r>
      <w:r>
        <w:t xml:space="preserve"> g</w:t>
      </w:r>
      <w:r w:rsidR="00B15A88">
        <w:t>adam.</w:t>
      </w:r>
    </w:p>
    <w:p w:rsidR="00DA53EA" w14:paraId="21E14EBC" w14:textId="547A920E">
      <w:pPr>
        <w:pStyle w:val="ListParagraph"/>
        <w:numPr>
          <w:ilvl w:val="0"/>
          <w:numId w:val="4"/>
        </w:numPr>
        <w:contextualSpacing/>
        <w:jc w:val="both"/>
      </w:pPr>
      <w:r>
        <w:t>Izmantojot 2006. gada Klimata pārmaiņu starpvaldību padomes (turpmāk - IPCC) izstrādātās vadlīnijas SEG emisiju un CO</w:t>
      </w:r>
      <w:r w:rsidRPr="55FC3B44">
        <w:rPr>
          <w:vertAlign w:val="subscript"/>
        </w:rPr>
        <w:t>2</w:t>
      </w:r>
      <w:r>
        <w:t xml:space="preserve"> piesaistes </w:t>
      </w:r>
      <w:r w:rsidRPr="55FC3B44">
        <w:rPr>
          <w:lang w:val="lv-LV"/>
        </w:rPr>
        <w:t xml:space="preserve">novērtēšanai, </w:t>
      </w:r>
      <w:r>
        <w:t>2013. gada IPCC vadlīniju papildinājumu SEG emisiju un CO</w:t>
      </w:r>
      <w:r w:rsidRPr="55FC3B44">
        <w:rPr>
          <w:vertAlign w:val="subscript"/>
        </w:rPr>
        <w:t>2</w:t>
      </w:r>
      <w:r>
        <w:t xml:space="preserve"> piesaistes ziņošanai</w:t>
      </w:r>
      <w:r w:rsidR="00F77313">
        <w:rPr>
          <w:lang w:val="lv-LV"/>
        </w:rPr>
        <w:t>,</w:t>
      </w:r>
      <w:r>
        <w:t xml:space="preserve"> 2013. gada IPCC vadlīniju papildinājumu SEG emisiju un CO</w:t>
      </w:r>
      <w:r w:rsidRPr="55FC3B44">
        <w:rPr>
          <w:vertAlign w:val="subscript"/>
        </w:rPr>
        <w:t>2</w:t>
      </w:r>
      <w:r>
        <w:t xml:space="preserve"> piesaistes ziņošanai no mitrzemēm </w:t>
      </w:r>
      <w:r w:rsidRPr="55FC3B44">
        <w:rPr>
          <w:lang w:val="lv-LV"/>
        </w:rPr>
        <w:t xml:space="preserve">un šā Līguma 2. pielikumā norādīto starptautisko un nacionālo normatīvo aktu prasību ietvaros </w:t>
      </w:r>
      <w:r>
        <w:t>sagatavot 2024.</w:t>
      </w:r>
      <w:r w:rsidRPr="55FC3B44">
        <w:rPr>
          <w:lang w:val="lv-LV"/>
        </w:rPr>
        <w:t xml:space="preserve"> </w:t>
      </w:r>
      <w:r>
        <w:t>gada SEG inventarizāciju ZIZIMM sektoram, tai skaitā:</w:t>
      </w:r>
    </w:p>
    <w:p w:rsidR="00DA53EA" w:rsidP="55FC3B44" w14:paraId="5B9652C5" w14:textId="10ECCFC8">
      <w:pPr>
        <w:pStyle w:val="ListParagraph"/>
        <w:numPr>
          <w:ilvl w:val="1"/>
          <w:numId w:val="4"/>
        </w:numPr>
        <w:ind w:left="993" w:hanging="426"/>
        <w:contextualSpacing/>
        <w:jc w:val="both"/>
      </w:pPr>
      <w:r>
        <w:t xml:space="preserve">sagatavot un iesniegt priekšlikumus </w:t>
      </w:r>
      <w:r w:rsidRPr="55FC3B44">
        <w:rPr>
          <w:lang w:val="lv-LV"/>
        </w:rPr>
        <w:t>Ministrijai</w:t>
      </w:r>
      <w:r>
        <w:t xml:space="preserve"> par ZIZIMM sektorā nepieciešamajiem uzlabojumiem 2024. gada SEG inventarizācijai;</w:t>
      </w:r>
    </w:p>
    <w:p w:rsidR="00DA53EA" w:rsidP="00C11CC7" w14:paraId="55A40705" w14:textId="6CD8AAFF">
      <w:pPr>
        <w:pStyle w:val="ListParagraph"/>
        <w:numPr>
          <w:ilvl w:val="1"/>
          <w:numId w:val="4"/>
        </w:numPr>
        <w:ind w:left="993" w:hanging="426"/>
        <w:contextualSpacing/>
        <w:jc w:val="both"/>
      </w:pPr>
      <w:r>
        <w:t>sagatavot antropogēno SEG emisiju  un CO</w:t>
      </w:r>
      <w:r w:rsidRPr="55FC3B44">
        <w:rPr>
          <w:vertAlign w:val="subscript"/>
        </w:rPr>
        <w:t>2</w:t>
      </w:r>
      <w:r>
        <w:t xml:space="preserve"> piesaistes aprēķinus ZIZIMM sektora</w:t>
      </w:r>
      <w:r w:rsidRPr="55FC3B44">
        <w:rPr>
          <w:lang w:val="lv-LV"/>
        </w:rPr>
        <w:t>m</w:t>
      </w:r>
      <w:r>
        <w:t xml:space="preserve"> par 20</w:t>
      </w:r>
      <w:r w:rsidRPr="55FC3B44">
        <w:rPr>
          <w:lang w:val="lv-LV"/>
        </w:rPr>
        <w:t>22</w:t>
      </w:r>
      <w:r>
        <w:t>.gadu un pārrēķinus par 1990.</w:t>
      </w:r>
      <w:r w:rsidRPr="55FC3B44">
        <w:rPr>
          <w:lang w:val="lv-LV"/>
        </w:rPr>
        <w:t xml:space="preserve"> </w:t>
      </w:r>
      <w:r>
        <w:t>-</w:t>
      </w:r>
      <w:r w:rsidRPr="55FC3B44">
        <w:rPr>
          <w:lang w:val="lv-LV"/>
        </w:rPr>
        <w:t xml:space="preserve"> </w:t>
      </w:r>
      <w:r>
        <w:t>20</w:t>
      </w:r>
      <w:r w:rsidRPr="55FC3B44">
        <w:rPr>
          <w:lang w:val="lv-LV"/>
        </w:rPr>
        <w:t>21</w:t>
      </w:r>
      <w:r>
        <w:t xml:space="preserve">. gadu, ņemot vērā arī nepieciešamos uzlabojumus saskaņā ar uzlabojuma plānu 2024. gada Latvijas SEG inventarizācijai, kā arī </w:t>
      </w:r>
      <w:r w:rsidRPr="55FC3B44">
        <w:rPr>
          <w:lang w:val="lv-LV"/>
        </w:rPr>
        <w:t>ZIZIMM regulas grozījumu jaunām prasībām, tai skaitā regulas 2018/1999 5.pielikuma 3.daļu</w:t>
      </w:r>
      <w:r>
        <w:rPr>
          <w:rStyle w:val="FootnoteReference"/>
          <w:lang w:val="lv-LV"/>
        </w:rPr>
        <w:footnoteReference w:id="4"/>
      </w:r>
      <w:r w:rsidR="005E4FFD">
        <w:rPr>
          <w:lang w:val="lv-LV"/>
        </w:rPr>
        <w:t>. E</w:t>
      </w:r>
      <w:r>
        <w:t>lektroniski</w:t>
      </w:r>
      <w:r>
        <w:t xml:space="preserve"> apkopot kopējā standartizētos ziņošanas formāt</w:t>
      </w:r>
      <w:r>
        <w:rPr>
          <w:lang w:val="lv-LV"/>
        </w:rPr>
        <w:t>ā</w:t>
      </w:r>
      <w:r>
        <w:t xml:space="preserve"> (</w:t>
      </w:r>
      <w:r w:rsidRPr="55FC3B44">
        <w:rPr>
          <w:i/>
          <w:iCs/>
        </w:rPr>
        <w:t xml:space="preserve">CRF </w:t>
      </w:r>
      <w:r w:rsidRPr="55FC3B44">
        <w:rPr>
          <w:i/>
          <w:iCs/>
        </w:rPr>
        <w:t>Reporter</w:t>
      </w:r>
      <w:r>
        <w:t>)</w:t>
      </w:r>
      <w:r>
        <w:rPr>
          <w:lang w:val="lv-LV"/>
        </w:rPr>
        <w:t xml:space="preserve"> un integrētā emisiju aprēķināšanas datu bāzē </w:t>
      </w:r>
      <w:r>
        <w:t xml:space="preserve">iegūtos vai aprēķinātos darbības datus un datus par </w:t>
      </w:r>
      <w:r w:rsidR="00BC413E">
        <w:rPr>
          <w:lang w:val="lv-LV"/>
        </w:rPr>
        <w:t>CO</w:t>
      </w:r>
      <w:r w:rsidRPr="00BC413E" w:rsidR="00BC413E">
        <w:rPr>
          <w:vertAlign w:val="subscript"/>
          <w:lang w:val="lv-LV"/>
        </w:rPr>
        <w:t xml:space="preserve">2 </w:t>
      </w:r>
      <w:r>
        <w:t xml:space="preserve">piesaisti un </w:t>
      </w:r>
      <w:r w:rsidR="00BC413E">
        <w:t xml:space="preserve">SEG </w:t>
      </w:r>
      <w:r>
        <w:t xml:space="preserve">emisijām atbilstoši Konvencijas, Kioto protokola </w:t>
      </w:r>
      <w:r>
        <w:rPr>
          <w:lang w:val="lv-LV"/>
        </w:rPr>
        <w:t xml:space="preserve">un </w:t>
      </w:r>
      <w:r>
        <w:t>ziņošanas vadlīnijām ikgadējo inventarizāciju sagatavošanai</w:t>
      </w:r>
      <w:r>
        <w:rPr>
          <w:rStyle w:val="WW-FootnoteReference2"/>
        </w:rPr>
        <w:footnoteReference w:id="5"/>
      </w:r>
      <w:r>
        <w:t xml:space="preserve">, paziņojot par sagatavoto informāciju </w:t>
      </w:r>
      <w:r>
        <w:rPr>
          <w:lang w:val="lv-LV"/>
        </w:rPr>
        <w:t>Ministrijai</w:t>
      </w:r>
      <w:r>
        <w:t>;</w:t>
      </w:r>
    </w:p>
    <w:p w:rsidR="00DA53EA" w:rsidP="00C11CC7" w14:paraId="10AE36F1" w14:textId="35CE14DF">
      <w:pPr>
        <w:pStyle w:val="ListParagraph"/>
        <w:numPr>
          <w:ilvl w:val="1"/>
          <w:numId w:val="4"/>
        </w:numPr>
        <w:tabs>
          <w:tab w:val="clear" w:pos="0"/>
        </w:tabs>
        <w:ind w:left="993" w:hanging="426"/>
        <w:contextualSpacing/>
        <w:jc w:val="both"/>
      </w:pPr>
      <w:r>
        <w:t>novērtēt neprecizitātes iegūtajiem vai aprēķinātajiem darbību datiem, emisiju faktoriem un datiem par CO</w:t>
      </w:r>
      <w:r w:rsidRPr="55FC3B44">
        <w:rPr>
          <w:vertAlign w:val="subscript"/>
        </w:rPr>
        <w:t>2</w:t>
      </w:r>
      <w:r>
        <w:t xml:space="preserve"> piesaisti un SEG emisijām ZIZIMM sektorā un iesniegt </w:t>
      </w:r>
      <w:r w:rsidRPr="55FC3B44">
        <w:rPr>
          <w:lang w:val="lv-LV"/>
        </w:rPr>
        <w:t xml:space="preserve">Ministrijai </w:t>
      </w:r>
      <w:r>
        <w:t>speciālā Excel formātā;</w:t>
      </w:r>
    </w:p>
    <w:p w:rsidR="00DA53EA" w:rsidP="00C11CC7" w14:paraId="067E7327" w14:textId="77777777">
      <w:pPr>
        <w:pStyle w:val="ListParagraph"/>
        <w:numPr>
          <w:ilvl w:val="1"/>
          <w:numId w:val="4"/>
        </w:numPr>
        <w:tabs>
          <w:tab w:val="clear" w:pos="0"/>
        </w:tabs>
        <w:ind w:left="993" w:hanging="426"/>
        <w:contextualSpacing/>
        <w:jc w:val="both"/>
      </w:pPr>
      <w:r>
        <w:t>sagatavot nacionālā inventarizācijas ziņojuma (</w:t>
      </w:r>
      <w:r w:rsidRPr="55FC3B44">
        <w:rPr>
          <w:i/>
          <w:iCs/>
        </w:rPr>
        <w:t xml:space="preserve">National </w:t>
      </w:r>
      <w:r w:rsidRPr="55FC3B44">
        <w:rPr>
          <w:i/>
          <w:iCs/>
        </w:rPr>
        <w:t>inventory</w:t>
      </w:r>
      <w:r w:rsidRPr="55FC3B44">
        <w:rPr>
          <w:i/>
          <w:iCs/>
        </w:rPr>
        <w:t xml:space="preserve"> </w:t>
      </w:r>
      <w:r w:rsidRPr="55FC3B44">
        <w:rPr>
          <w:i/>
          <w:iCs/>
        </w:rPr>
        <w:t>report</w:t>
      </w:r>
      <w:r>
        <w:t>) projekta versijas nodaļas angļu valodā par ZIZIMM Konvencijas un Kioto protokola ietvaros, balstoties uz Deleģētāja izstrādāto instrukciju Latvijas SEG inventarizācijas sagatavošanai</w:t>
      </w:r>
      <w:r w:rsidRPr="55FC3B44">
        <w:rPr>
          <w:lang w:val="lv-LV"/>
        </w:rPr>
        <w:t>;</w:t>
      </w:r>
    </w:p>
    <w:p w:rsidR="00DA53EA" w:rsidP="55FC3B44" w14:paraId="3C144A1A" w14:textId="0AEE2ED5">
      <w:pPr>
        <w:pStyle w:val="ListParagraph"/>
        <w:numPr>
          <w:ilvl w:val="1"/>
          <w:numId w:val="4"/>
        </w:numPr>
        <w:ind w:left="993" w:hanging="426"/>
        <w:contextualSpacing/>
        <w:jc w:val="both"/>
      </w:pPr>
      <w:r>
        <w:t>sagatavot nacionālā inventarizācijas ziņojuma (</w:t>
      </w:r>
      <w:r w:rsidRPr="55FC3B44">
        <w:rPr>
          <w:i/>
          <w:iCs/>
        </w:rPr>
        <w:t xml:space="preserve">National </w:t>
      </w:r>
      <w:r w:rsidRPr="55FC3B44">
        <w:rPr>
          <w:i/>
          <w:iCs/>
        </w:rPr>
        <w:t>inventory</w:t>
      </w:r>
      <w:r w:rsidRPr="55FC3B44">
        <w:rPr>
          <w:i/>
          <w:iCs/>
        </w:rPr>
        <w:t xml:space="preserve"> </w:t>
      </w:r>
      <w:r w:rsidRPr="55FC3B44">
        <w:rPr>
          <w:i/>
          <w:iCs/>
        </w:rPr>
        <w:t>report</w:t>
      </w:r>
      <w:r>
        <w:t xml:space="preserve">) nodaļas angļu valodā par ZIZIMM sektoru Konvencijas ietvaros, balstoties uz  instrukciju </w:t>
      </w:r>
      <w:r>
        <w:t>Latvijas 2024.</w:t>
      </w:r>
      <w:r w:rsidRPr="55FC3B44">
        <w:rPr>
          <w:lang w:val="lv-LV"/>
        </w:rPr>
        <w:t xml:space="preserve"> </w:t>
      </w:r>
      <w:r>
        <w:t>gada SEG inventarizācijas sagatavošanai</w:t>
      </w:r>
      <w:r w:rsidR="00F77313">
        <w:rPr>
          <w:lang w:val="lv-LV"/>
        </w:rPr>
        <w:t>; z</w:t>
      </w:r>
      <w:r>
        <w:t>iņojumā</w:t>
      </w:r>
      <w:r>
        <w:t xml:space="preserve"> ietvert informāciju par darbības datu ieguvi, izmantotajām programmatūrām, izvēlēto un izmantoto metodoloģiju, pieņēmumiem un ievērotām kvalitātes kontroles procedūrām, kā arī izvērtēt un ielabot komentārus, kas saņemti no inventarizācijas sagatavošanā iesaistītām institūcijām</w:t>
      </w:r>
      <w:r w:rsidRPr="55FC3B44">
        <w:rPr>
          <w:lang w:val="lv-LV"/>
        </w:rPr>
        <w:t>;</w:t>
      </w:r>
    </w:p>
    <w:p w:rsidR="00DA53EA" w:rsidP="55FC3B44" w14:paraId="716BA45B" w14:textId="62678B14">
      <w:pPr>
        <w:pStyle w:val="ListParagraph"/>
        <w:numPr>
          <w:ilvl w:val="1"/>
          <w:numId w:val="4"/>
        </w:numPr>
        <w:ind w:left="993" w:hanging="426"/>
        <w:contextualSpacing/>
        <w:jc w:val="both"/>
      </w:pPr>
      <w:r w:rsidRPr="55FC3B44">
        <w:rPr>
          <w:lang w:val="lv-LV"/>
        </w:rPr>
        <w:t>iesniegt Ministrijai</w:t>
      </w:r>
      <w:r>
        <w:t xml:space="preserve"> sagatavot</w:t>
      </w:r>
      <w:r w:rsidRPr="55FC3B44">
        <w:rPr>
          <w:lang w:val="lv-LV"/>
        </w:rPr>
        <w:t>u</w:t>
      </w:r>
      <w:r>
        <w:t xml:space="preserve"> instrukciju 2024.</w:t>
      </w:r>
      <w:r w:rsidRPr="55FC3B44">
        <w:rPr>
          <w:lang w:val="lv-LV"/>
        </w:rPr>
        <w:t xml:space="preserve"> </w:t>
      </w:r>
      <w:r>
        <w:t>gada SEG inventarizācijai no ZIZIMM</w:t>
      </w:r>
      <w:r w:rsidRPr="55FC3B44">
        <w:rPr>
          <w:lang w:val="lv-LV"/>
        </w:rPr>
        <w:t xml:space="preserve"> sektora </w:t>
      </w:r>
      <w:r>
        <w:t xml:space="preserve">un ievietot </w:t>
      </w:r>
      <w:r>
        <w:t>ftp</w:t>
      </w:r>
      <w:r>
        <w:t xml:space="preserve"> (</w:t>
      </w:r>
      <w:hyperlink r:id="rId6">
        <w:r w:rsidRPr="55FC3B44">
          <w:rPr>
            <w:rStyle w:val="Hyperlink"/>
          </w:rPr>
          <w:t>ftp://seginv@212.70.174.35/</w:t>
        </w:r>
      </w:hyperlink>
      <w:r>
        <w:t>) arhivēšanai;</w:t>
      </w:r>
    </w:p>
    <w:p w:rsidR="00DA53EA" w:rsidP="00C11CC7" w14:paraId="498D19E4" w14:textId="77777777">
      <w:pPr>
        <w:pStyle w:val="ListParagraph"/>
        <w:numPr>
          <w:ilvl w:val="1"/>
          <w:numId w:val="4"/>
        </w:numPr>
        <w:tabs>
          <w:tab w:val="clear" w:pos="0"/>
        </w:tabs>
        <w:ind w:left="993" w:hanging="426"/>
        <w:contextualSpacing/>
        <w:jc w:val="both"/>
      </w:pPr>
      <w:r>
        <w:t>sagatavot informāciju un iesaistīties</w:t>
      </w:r>
      <w:r w:rsidRPr="55FC3B44">
        <w:rPr>
          <w:lang w:val="lv-LV"/>
        </w:rPr>
        <w:t xml:space="preserve"> SEG</w:t>
      </w:r>
      <w:r>
        <w:t xml:space="preserve"> inventarizācija</w:t>
      </w:r>
      <w:r w:rsidRPr="55FC3B44">
        <w:rPr>
          <w:lang w:val="lv-LV"/>
        </w:rPr>
        <w:t>s</w:t>
      </w:r>
      <w:r>
        <w:t xml:space="preserve"> ekspertu darba grupas sanāksmē, kurā analizē aprēķinos izmantotās metodes, kvalitātes plānu, nepieciešamos uzlabojumus, problēmas un citus jautājumus</w:t>
      </w:r>
      <w:r w:rsidRPr="55FC3B44">
        <w:rPr>
          <w:lang w:val="lv-LV"/>
        </w:rPr>
        <w:t>;</w:t>
      </w:r>
    </w:p>
    <w:p w:rsidR="00520282" w:rsidRPr="00EA6118" w:rsidP="55FC3B44" w14:paraId="452709C8" w14:textId="609B635C">
      <w:pPr>
        <w:pStyle w:val="ListParagraph"/>
        <w:numPr>
          <w:ilvl w:val="1"/>
          <w:numId w:val="4"/>
        </w:numPr>
        <w:ind w:left="993" w:hanging="426"/>
        <w:contextualSpacing/>
        <w:jc w:val="both"/>
        <w:rPr>
          <w:lang w:val="lv-LV"/>
        </w:rPr>
      </w:pPr>
      <w:r>
        <w:t>Piedalīties E</w:t>
      </w:r>
      <w:r w:rsidRPr="55FC3B44">
        <w:rPr>
          <w:lang w:val="lv-LV"/>
        </w:rPr>
        <w:t>iropas Komisijas</w:t>
      </w:r>
      <w:r>
        <w:t xml:space="preserve"> </w:t>
      </w:r>
      <w:r w:rsidRPr="55FC3B44">
        <w:rPr>
          <w:lang w:val="lv-LV"/>
        </w:rPr>
        <w:t xml:space="preserve">2024. gada </w:t>
      </w:r>
      <w:r>
        <w:t xml:space="preserve">SEG inventarizācijas ZIZIMM sektora padziļinātajā pārbaudē (atbildēt uz jautājumiem, pēc nepieciešamības piedalīties </w:t>
      </w:r>
      <w:r w:rsidRPr="55FC3B44">
        <w:rPr>
          <w:lang w:val="lv-LV"/>
        </w:rPr>
        <w:t>telefonkonferencēs</w:t>
      </w:r>
      <w:r w:rsidRPr="55FC3B44">
        <w:rPr>
          <w:lang w:val="lv-LV"/>
        </w:rPr>
        <w:t>, sagatavot atjauninātu informāciju pēc nepieciešamības).</w:t>
      </w:r>
    </w:p>
    <w:p w:rsidR="00DE0EAD" w:rsidP="001D2212" w14:paraId="03E33034" w14:textId="054E049A">
      <w:pPr>
        <w:pStyle w:val="ListParagraph"/>
        <w:numPr>
          <w:ilvl w:val="0"/>
          <w:numId w:val="4"/>
        </w:numPr>
        <w:contextualSpacing/>
        <w:jc w:val="both"/>
        <w:rPr>
          <w:lang w:val="lv-LV"/>
        </w:rPr>
      </w:pPr>
      <w:r w:rsidRPr="00DE0EAD">
        <w:rPr>
          <w:lang w:val="lv-LV"/>
        </w:rPr>
        <w:t>Nodrošināt atbalstu  2018/1999 regulas 5.pielikuma 3. daļas "Monitoringa un ziņošanas metodika ZIZIMM sektorā" jauno prasību izvērtēšanā un piemērošanā, sagatavojot SEG inventarizāciju.</w:t>
      </w:r>
    </w:p>
    <w:p w:rsidR="005753FB" w:rsidP="001D2212" w14:paraId="743A2A69" w14:textId="188A120D">
      <w:pPr>
        <w:pStyle w:val="ListParagraph"/>
        <w:numPr>
          <w:ilvl w:val="0"/>
          <w:numId w:val="4"/>
        </w:numPr>
        <w:contextualSpacing/>
        <w:jc w:val="both"/>
        <w:rPr>
          <w:lang w:val="lv-LV"/>
        </w:rPr>
      </w:pPr>
      <w:r w:rsidRPr="00F31A6D">
        <w:rPr>
          <w:lang w:val="lv-LV"/>
        </w:rPr>
        <w:t xml:space="preserve">Sagatavot aptuveno </w:t>
      </w:r>
      <w:r w:rsidRPr="00F31A6D" w:rsidR="00E14B0C">
        <w:rPr>
          <w:lang w:val="lv-LV"/>
        </w:rPr>
        <w:t xml:space="preserve">SEG </w:t>
      </w:r>
      <w:r w:rsidRPr="00F31A6D">
        <w:rPr>
          <w:lang w:val="lv-LV"/>
        </w:rPr>
        <w:t>inventarizāciju</w:t>
      </w:r>
      <w:r w:rsidRPr="00F31A6D" w:rsidR="3EE59547">
        <w:rPr>
          <w:lang w:val="lv-LV"/>
        </w:rPr>
        <w:t xml:space="preserve"> ZIZIMM sektoram atbilstoši</w:t>
      </w:r>
      <w:r w:rsidRPr="00F31A6D" w:rsidR="519C8E38">
        <w:rPr>
          <w:lang w:val="lv-LV"/>
        </w:rPr>
        <w:t xml:space="preserve"> </w:t>
      </w:r>
      <w:r w:rsidRPr="55FC3B44" w:rsidR="003E0C25">
        <w:rPr>
          <w:i/>
          <w:iCs/>
          <w:lang w:val="lv-LV"/>
        </w:rPr>
        <w:t>Komisijas Īstenošanas regula</w:t>
      </w:r>
      <w:r w:rsidRPr="55FC3B44" w:rsidR="0021476A">
        <w:rPr>
          <w:i/>
          <w:iCs/>
          <w:lang w:val="lv-LV"/>
        </w:rPr>
        <w:t>s</w:t>
      </w:r>
      <w:r w:rsidRPr="55FC3B44" w:rsidR="003E0C25">
        <w:rPr>
          <w:i/>
          <w:iCs/>
          <w:lang w:val="lv-LV"/>
        </w:rPr>
        <w:t xml:space="preserve"> (ES) 2020/1208 (2020. gada 7. augusts), par tās informācijas struktūru, formātu, iesniegšanas procedūrām un izskatīšanu, kuru dalībvalstis ziņo saskaņā ar Eiropas Parlamenta un Padomes Regulu (ES) 2018/1999</w:t>
      </w:r>
      <w:r>
        <w:rPr>
          <w:rStyle w:val="FootnoteReference"/>
          <w:i/>
          <w:iCs/>
          <w:lang w:val="lv-LV"/>
        </w:rPr>
        <w:footnoteReference w:id="6"/>
      </w:r>
      <w:r w:rsidRPr="55FC3B44" w:rsidR="003E0C25">
        <w:rPr>
          <w:i/>
          <w:iCs/>
          <w:lang w:val="lv-LV"/>
        </w:rPr>
        <w:t xml:space="preserve"> </w:t>
      </w:r>
      <w:r w:rsidRPr="55FC3B44" w:rsidR="00133693">
        <w:rPr>
          <w:i/>
          <w:iCs/>
        </w:rPr>
        <w:t>, un ar ko atceļ Komisijas Īstenošanas regulu (ES) Nr. 749/2014</w:t>
      </w:r>
      <w:r w:rsidRPr="55FC3B44" w:rsidR="00133693">
        <w:rPr>
          <w:i/>
          <w:iCs/>
          <w:lang w:val="lv-LV"/>
        </w:rPr>
        <w:t xml:space="preserve"> </w:t>
      </w:r>
      <w:r w:rsidRPr="00F31A6D" w:rsidR="003E0C25">
        <w:rPr>
          <w:lang w:val="lv-LV"/>
        </w:rPr>
        <w:t>III nodaļas 7.pantam</w:t>
      </w:r>
      <w:r>
        <w:rPr>
          <w:rStyle w:val="FootnoteReference"/>
          <w:lang w:val="lv-LV"/>
        </w:rPr>
        <w:footnoteReference w:id="7"/>
      </w:r>
      <w:r w:rsidRPr="00F31A6D" w:rsidR="003E0C25">
        <w:rPr>
          <w:lang w:val="lv-LV"/>
        </w:rPr>
        <w:t xml:space="preserve"> </w:t>
      </w:r>
      <w:r w:rsidRPr="003E0C25">
        <w:t>par 2022.gadu.</w:t>
      </w:r>
      <w:r w:rsidRPr="00F31A6D" w:rsidR="00F31A6D">
        <w:rPr>
          <w:lang w:val="lv-LV"/>
        </w:rPr>
        <w:t xml:space="preserve"> </w:t>
      </w:r>
    </w:p>
    <w:p w:rsidR="00520282" w:rsidRPr="00F31A6D" w:rsidP="001D2212" w14:paraId="2AC04251" w14:textId="672A08EF">
      <w:pPr>
        <w:pStyle w:val="ListParagraph"/>
        <w:numPr>
          <w:ilvl w:val="0"/>
          <w:numId w:val="4"/>
        </w:numPr>
        <w:contextualSpacing/>
        <w:jc w:val="both"/>
        <w:rPr>
          <w:lang w:val="lv-LV"/>
        </w:rPr>
      </w:pPr>
      <w:r>
        <w:rPr>
          <w:lang w:val="lv-LV"/>
        </w:rPr>
        <w:t>T</w:t>
      </w:r>
      <w:r w:rsidRPr="00F31A6D">
        <w:rPr>
          <w:lang w:val="lv-LV"/>
        </w:rPr>
        <w:t>urpināt darbu pie 202</w:t>
      </w:r>
      <w:r w:rsidRPr="00F31A6D" w:rsidR="4CBA1C9E">
        <w:rPr>
          <w:lang w:val="lv-LV"/>
        </w:rPr>
        <w:t>3</w:t>
      </w:r>
      <w:r w:rsidRPr="00F31A6D">
        <w:rPr>
          <w:lang w:val="lv-LV"/>
        </w:rPr>
        <w:t>. gada Ziņojuma par politikām, pasākumiem un SEG prognožu sagatavošanas, ieskaitot jauno ziņošanas formātu aizpildīšanu</w:t>
      </w:r>
      <w:r>
        <w:rPr>
          <w:lang w:val="lv-LV"/>
        </w:rPr>
        <w:t xml:space="preserve"> atbilstoši </w:t>
      </w:r>
      <w:r w:rsidR="005753FB">
        <w:rPr>
          <w:lang w:val="lv-LV"/>
        </w:rPr>
        <w:t>3.puntā minētās</w:t>
      </w:r>
      <w:r>
        <w:rPr>
          <w:lang w:val="lv-LV"/>
        </w:rPr>
        <w:t xml:space="preserve"> </w:t>
      </w:r>
      <w:r w:rsidR="00075A16">
        <w:rPr>
          <w:lang w:val="lv-LV"/>
        </w:rPr>
        <w:t>regulas VI nodaļai</w:t>
      </w:r>
      <w:r w:rsidRPr="00F31A6D">
        <w:rPr>
          <w:lang w:val="lv-LV"/>
        </w:rPr>
        <w:t>.</w:t>
      </w:r>
    </w:p>
    <w:p w:rsidR="00DA53EA" w:rsidRPr="00EA6118" w14:paraId="6641B613" w14:textId="17599A6F">
      <w:pPr>
        <w:pStyle w:val="ListParagraph"/>
        <w:numPr>
          <w:ilvl w:val="0"/>
          <w:numId w:val="4"/>
        </w:numPr>
        <w:contextualSpacing/>
        <w:jc w:val="both"/>
      </w:pPr>
      <w:r w:rsidRPr="55FC3B44">
        <w:rPr>
          <w:lang w:val="lv-LV"/>
        </w:rPr>
        <w:t>Atbalst</w:t>
      </w:r>
      <w:r w:rsidR="00F77313">
        <w:rPr>
          <w:lang w:val="lv-LV"/>
        </w:rPr>
        <w:t>īt</w:t>
      </w:r>
      <w:r w:rsidRPr="55FC3B44">
        <w:rPr>
          <w:lang w:val="lv-LV"/>
        </w:rPr>
        <w:t xml:space="preserve"> ar citu ZIZIMM nozari saistīto normatīvo aktu priekšlikumu izskatīšanu, pozīcijas formulēšanu, tai skaitā  Kopējās lauksaimniecības politikas, Taisnīgās pārkārtošanās fonda, Dabas atjaunošanas regulas un Oglekļa sertifikācijas regulas priekšlikumu jautājum</w:t>
      </w:r>
      <w:r w:rsidR="00F77313">
        <w:rPr>
          <w:lang w:val="lv-LV"/>
        </w:rPr>
        <w:t>us</w:t>
      </w:r>
      <w:r w:rsidRPr="55FC3B44">
        <w:rPr>
          <w:lang w:val="lv-LV"/>
        </w:rPr>
        <w:t>, kā arī citu</w:t>
      </w:r>
      <w:r w:rsidR="00F77313">
        <w:rPr>
          <w:lang w:val="lv-LV"/>
        </w:rPr>
        <w:t>s</w:t>
      </w:r>
      <w:r w:rsidRPr="55FC3B44">
        <w:rPr>
          <w:lang w:val="lv-LV"/>
        </w:rPr>
        <w:t xml:space="preserve"> pēc Ministrijas </w:t>
      </w:r>
      <w:r w:rsidR="00F77313">
        <w:rPr>
          <w:lang w:val="lv-LV"/>
        </w:rPr>
        <w:t>lūguma</w:t>
      </w:r>
      <w:r w:rsidRPr="55FC3B44">
        <w:rPr>
          <w:lang w:val="lv-LV"/>
        </w:rPr>
        <w:t>.</w:t>
      </w:r>
    </w:p>
    <w:p w:rsidR="00581D72" w:rsidRPr="003E585F" w14:paraId="01F2E427" w14:textId="5D90CD84">
      <w:pPr>
        <w:pStyle w:val="ListParagraph"/>
        <w:numPr>
          <w:ilvl w:val="0"/>
          <w:numId w:val="4"/>
        </w:numPr>
        <w:contextualSpacing/>
        <w:jc w:val="both"/>
      </w:pPr>
      <w:r>
        <w:t xml:space="preserve">Sagatavot nepieciešamo informāciju </w:t>
      </w:r>
      <w:r w:rsidRPr="55FC3B44">
        <w:rPr>
          <w:lang w:val="lv-LV"/>
        </w:rPr>
        <w:t>starptautisko</w:t>
      </w:r>
      <w:r>
        <w:t xml:space="preserve"> pārbaužu ietvaros par ZIZIMM sektoru 5. divgadu pārskatu (BR5) un 8. Nacionālo ziņojumu ANO Vispārējās konvencijas par klimata pārmaiņām ietvaros, tai skaitā piedalīties sanāksmēs</w:t>
      </w:r>
      <w:r w:rsidRPr="55FC3B44">
        <w:rPr>
          <w:lang w:val="lv-LV"/>
        </w:rPr>
        <w:t>.</w:t>
      </w:r>
    </w:p>
    <w:p w:rsidR="00581D72" w:rsidP="00581D72" w14:paraId="2695D9BD" w14:textId="0D859C96">
      <w:pPr>
        <w:pStyle w:val="ListParagraph"/>
        <w:numPr>
          <w:ilvl w:val="0"/>
          <w:numId w:val="4"/>
        </w:numPr>
        <w:contextualSpacing/>
        <w:jc w:val="both"/>
      </w:pPr>
      <w:r w:rsidRPr="55FC3B44">
        <w:rPr>
          <w:lang w:val="lv-LV"/>
        </w:rPr>
        <w:t xml:space="preserve">Nodrošināt atbalstu pie </w:t>
      </w:r>
      <w:r>
        <w:t xml:space="preserve">Ministru kabineta 2022. gada 25. oktobra noteikumiem Nr. 675 “Siltumnīcefekta gāzu inventarizācijas sistēmas, prognožu sistēmas un sistēmas ziņošanai par pielāgošanos klimata pārmaiņām izveidošanas un uzturēšanas kārtība” </w:t>
      </w:r>
      <w:r w:rsidRPr="55FC3B44">
        <w:rPr>
          <w:lang w:val="lv-LV"/>
        </w:rPr>
        <w:t xml:space="preserve"> pārskatīšanas saistībā ar vēsturisko un prognozēto SEG aprēķinu sagatavošanas, tai skaitā </w:t>
      </w:r>
      <w:r w:rsidR="00F77313">
        <w:rPr>
          <w:lang w:val="lv-LV"/>
        </w:rPr>
        <w:t xml:space="preserve">piedalīties </w:t>
      </w:r>
      <w:r w:rsidRPr="55FC3B44">
        <w:rPr>
          <w:lang w:val="lv-LV"/>
        </w:rPr>
        <w:t>sanāksmēs.</w:t>
      </w:r>
    </w:p>
    <w:p w:rsidR="00E14B0C" w:rsidRPr="00F62FA3" w14:paraId="687988AE" w14:textId="42AB1162">
      <w:pPr>
        <w:pStyle w:val="ListParagraph"/>
        <w:numPr>
          <w:ilvl w:val="0"/>
          <w:numId w:val="4"/>
        </w:numPr>
        <w:contextualSpacing/>
        <w:jc w:val="both"/>
      </w:pPr>
      <w:r>
        <w:t xml:space="preserve">Piedalīties pasākumos (tai skaitā starptautiska mēroga, </w:t>
      </w:r>
      <w:r w:rsidRPr="55FC3B44">
        <w:rPr>
          <w:lang w:val="lv-LV"/>
        </w:rPr>
        <w:t xml:space="preserve">ZIZIMM ekspertu </w:t>
      </w:r>
      <w:r>
        <w:t xml:space="preserve">ikgadējā sanāksme, </w:t>
      </w:r>
      <w:r w:rsidRPr="55FC3B44">
        <w:rPr>
          <w:lang w:val="lv-LV"/>
        </w:rPr>
        <w:t>Komisijas</w:t>
      </w:r>
      <w:r>
        <w:t xml:space="preserve"> Klimata pārmaiņu komitejas  darba grupas Nr.5 apmeklējums</w:t>
      </w:r>
      <w:r w:rsidRPr="55FC3B44">
        <w:rPr>
          <w:lang w:val="lv-LV"/>
        </w:rPr>
        <w:t>, tai skaitā attālināti</w:t>
      </w:r>
      <w:r>
        <w:t>), kuros tiek apspriesti būtiski jautājumi saistībā ar CO</w:t>
      </w:r>
      <w:r w:rsidRPr="55FC3B44">
        <w:rPr>
          <w:vertAlign w:val="subscript"/>
        </w:rPr>
        <w:t>2</w:t>
      </w:r>
      <w:r>
        <w:t xml:space="preserve"> piesaistes un SEG emisiju prognozēm un ikgadējiem aprēķiniem. </w:t>
      </w:r>
      <w:r w:rsidRPr="55FC3B44">
        <w:rPr>
          <w:lang w:val="lv-LV"/>
        </w:rPr>
        <w:t xml:space="preserve">Piedalīties informatīvā ziņojuma  “Par Zemes izmantošanas, zemes izmantošanas maiņas un mežsaimniecības sektora virzību uz </w:t>
      </w:r>
      <w:r w:rsidRPr="55FC3B44">
        <w:rPr>
          <w:lang w:val="lv-LV"/>
        </w:rPr>
        <w:t>klimatneitralitāti</w:t>
      </w:r>
      <w:r w:rsidRPr="55FC3B44">
        <w:rPr>
          <w:lang w:val="lv-LV"/>
        </w:rPr>
        <w:t>” izstrādē.</w:t>
      </w:r>
    </w:p>
    <w:p w:rsidR="00F62FA3" w:rsidRPr="000E3755" w14:paraId="197D6A1C" w14:textId="77777777">
      <w:pPr>
        <w:pStyle w:val="ListParagraph"/>
        <w:numPr>
          <w:ilvl w:val="0"/>
          <w:numId w:val="4"/>
        </w:numPr>
        <w:contextualSpacing/>
        <w:jc w:val="both"/>
      </w:pPr>
      <w:r>
        <w:t xml:space="preserve">Nodrošināt dalību informatīvā ziņojuma “Par siltumnīcefekta gāzu emisiju samazināšanas un oglekļa dioksīda piesaistes saistību izpildi” saistībā ar ZIZIMM sektoru un sagatavot skaidrojošu aprakstu par SEG aprēķiniem, kā arī Latvijai noteiktajiem mērķiem ZIZIMM sektoram 2025. un 2030. </w:t>
      </w:r>
      <w:r w:rsidRPr="55FC3B44">
        <w:rPr>
          <w:lang w:val="lv-LV"/>
        </w:rPr>
        <w:t>gadā.</w:t>
      </w:r>
    </w:p>
    <w:p w:rsidR="000E3755" w:rsidRPr="00F62FA3" w14:paraId="7B5C610D" w14:textId="101738C5">
      <w:pPr>
        <w:pStyle w:val="ListParagraph"/>
        <w:numPr>
          <w:ilvl w:val="0"/>
          <w:numId w:val="4"/>
        </w:numPr>
        <w:contextualSpacing/>
        <w:jc w:val="both"/>
      </w:pPr>
      <w:r>
        <w:t xml:space="preserve">Sadarbībā ar FEI sagatavot priekšlikumus Ministru kabineta 2022. gada 25. oktobra noteikumu Nr.  675 “Siltumnīcefekta gāzu inventarizācijas sistēmas, prognožu sistēmas </w:t>
      </w:r>
      <w:r>
        <w:t xml:space="preserve">un sistēmas ziņošanai par pielāgošanos klimata pārmaiņām izveidošanas un uzturēšanas kārtība”  pārskatīšanai saistībā ar emisiju aprēķinu no </w:t>
      </w:r>
      <w:r w:rsidR="0095433F">
        <w:rPr>
          <w:lang w:val="lv-LV"/>
        </w:rPr>
        <w:t>ZIZIMM sektora</w:t>
      </w:r>
      <w:r>
        <w:t xml:space="preserve"> un SEG prognožu sagatavošanas, tai skaitā dalība sanāksmēs. </w:t>
      </w:r>
      <w:r w:rsidRPr="55FC3B44">
        <w:rPr>
          <w:lang w:val="lv-LV"/>
        </w:rPr>
        <w:t>I</w:t>
      </w:r>
      <w:r>
        <w:t>zstrādā</w:t>
      </w:r>
      <w:r w:rsidRPr="55FC3B44">
        <w:rPr>
          <w:lang w:val="lv-LV"/>
        </w:rPr>
        <w:t>t</w:t>
      </w:r>
      <w:r>
        <w:t xml:space="preserve"> SEG emisiju progno</w:t>
      </w:r>
      <w:r w:rsidR="00404BF3">
        <w:rPr>
          <w:lang w:val="lv-LV"/>
        </w:rPr>
        <w:t>zes</w:t>
      </w:r>
      <w:r>
        <w:t xml:space="preserve"> </w:t>
      </w:r>
      <w:r w:rsidR="008005DA">
        <w:rPr>
          <w:lang w:val="lv-LV"/>
        </w:rPr>
        <w:t>ZIZIMM sektorā</w:t>
      </w:r>
      <w:r>
        <w:t xml:space="preserve"> līdz 2050. gadam un turpmākajiem gadiem un novērtē</w:t>
      </w:r>
      <w:r w:rsidR="00642CA2">
        <w:rPr>
          <w:lang w:val="lv-LV"/>
        </w:rPr>
        <w:t>t</w:t>
      </w:r>
      <w:r>
        <w:t xml:space="preserve"> </w:t>
      </w:r>
      <w:r w:rsidRPr="55FC3B44">
        <w:rPr>
          <w:i/>
          <w:iCs/>
        </w:rPr>
        <w:t xml:space="preserve">Latvijas Nacionālajā enerģētikas un klimata plānā 2021.–2030. </w:t>
      </w:r>
      <w:r w:rsidRPr="55FC3B44" w:rsidR="002B16D7">
        <w:rPr>
          <w:i/>
          <w:iCs/>
        </w:rPr>
        <w:t>G</w:t>
      </w:r>
      <w:r w:rsidRPr="55FC3B44">
        <w:rPr>
          <w:i/>
          <w:iCs/>
        </w:rPr>
        <w:t>adam</w:t>
      </w:r>
      <w:r w:rsidR="002B16D7">
        <w:rPr>
          <w:i/>
          <w:iCs/>
          <w:lang w:val="lv-LV"/>
        </w:rPr>
        <w:t xml:space="preserve"> (turpmāk - NEKP)</w:t>
      </w:r>
      <w:r>
        <w:t xml:space="preserve"> un </w:t>
      </w:r>
      <w:r w:rsidRPr="55FC3B44">
        <w:rPr>
          <w:i/>
          <w:iCs/>
        </w:rPr>
        <w:t xml:space="preserve">Latvijas stratēģijā </w:t>
      </w:r>
      <w:r w:rsidRPr="55FC3B44">
        <w:rPr>
          <w:i/>
          <w:iCs/>
        </w:rPr>
        <w:t>klimatneitralitātes</w:t>
      </w:r>
      <w:r w:rsidRPr="55FC3B44">
        <w:rPr>
          <w:i/>
          <w:iCs/>
        </w:rPr>
        <w:t xml:space="preserve"> sasniegšanai līdz 2050.</w:t>
      </w:r>
      <w:r>
        <w:t xml:space="preserve"> gadam noteikto SEG emisiju un oglekļa dioksīda piesaistes mērķu sasniegšanas progresu</w:t>
      </w:r>
      <w:r w:rsidRPr="55FC3B44">
        <w:rPr>
          <w:lang w:val="lv-LV"/>
        </w:rPr>
        <w:t xml:space="preserve"> ZIZIMM sektoram atbilstoši š</w:t>
      </w:r>
      <w:r w:rsidR="00A04DF3">
        <w:rPr>
          <w:lang w:val="lv-LV"/>
        </w:rPr>
        <w:t>iem</w:t>
      </w:r>
      <w:r w:rsidRPr="55FC3B44">
        <w:rPr>
          <w:lang w:val="lv-LV"/>
        </w:rPr>
        <w:t xml:space="preserve"> MK noteikum</w:t>
      </w:r>
      <w:r w:rsidR="00517BB6">
        <w:rPr>
          <w:lang w:val="lv-LV"/>
        </w:rPr>
        <w:t>iem</w:t>
      </w:r>
      <w:r w:rsidR="00F77313">
        <w:rPr>
          <w:lang w:val="lv-LV"/>
        </w:rPr>
        <w:t xml:space="preserve">; </w:t>
      </w:r>
      <w:r>
        <w:t>piedalīties sanāksmēs, lai prezentētu un aizstāvētu sagatavoto ilgtermiņa scenāriju.</w:t>
      </w:r>
    </w:p>
    <w:p w:rsidR="00F62FA3" w:rsidRPr="000E3755" w14:paraId="2204285C" w14:textId="146FD8BE">
      <w:pPr>
        <w:pStyle w:val="ListParagraph"/>
        <w:numPr>
          <w:ilvl w:val="0"/>
          <w:numId w:val="4"/>
        </w:numPr>
        <w:contextualSpacing/>
        <w:jc w:val="both"/>
      </w:pPr>
      <w:r>
        <w:t>Piedalīties NEKP atjaunošanā saistībā ar ZIZIMM sektoru, tai skaitā nodrošināt dalību darba grupās,  konsultācijas un dalību NEKP progresa ziņojumu sagatavošanā</w:t>
      </w:r>
      <w:r w:rsidRPr="55FC3B44">
        <w:rPr>
          <w:lang w:val="lv-LV"/>
        </w:rPr>
        <w:t>:</w:t>
      </w:r>
    </w:p>
    <w:p w:rsidR="000E3755" w:rsidRPr="000E3755" w:rsidP="55FC3B44" w14:paraId="148D15FC" w14:textId="221D442B">
      <w:pPr>
        <w:pStyle w:val="ListParagraph"/>
        <w:numPr>
          <w:ilvl w:val="1"/>
          <w:numId w:val="4"/>
        </w:numPr>
        <w:ind w:left="1134" w:hanging="567"/>
        <w:contextualSpacing/>
        <w:jc w:val="both"/>
      </w:pPr>
      <w:r>
        <w:rPr>
          <w:lang w:val="lv-LV"/>
        </w:rPr>
        <w:t>sagatavot i</w:t>
      </w:r>
      <w:r>
        <w:t>nformācij</w:t>
      </w:r>
      <w:r>
        <w:rPr>
          <w:lang w:val="lv-LV"/>
        </w:rPr>
        <w:t>u</w:t>
      </w:r>
      <w:r>
        <w:rPr>
          <w:lang w:val="lv-LV"/>
        </w:rPr>
        <w:t xml:space="preserve"> </w:t>
      </w:r>
      <w:r w:rsidR="002B16D7">
        <w:rPr>
          <w:lang w:val="lv-LV"/>
        </w:rPr>
        <w:t>NEKP</w:t>
      </w:r>
      <w:r w:rsidR="55FC3B44">
        <w:t xml:space="preserve"> atjaunināšanas plāna projekta ziņojuma dekarbonizācijas sadaļai</w:t>
      </w:r>
      <w:r w:rsidRPr="55FC3B44" w:rsidR="55FC3B44">
        <w:rPr>
          <w:lang w:val="lv-LV"/>
        </w:rPr>
        <w:t>;</w:t>
      </w:r>
    </w:p>
    <w:p w:rsidR="000E3755" w:rsidP="00111007" w14:paraId="03911FBF" w14:textId="1A748835">
      <w:pPr>
        <w:pStyle w:val="ListParagraph"/>
        <w:numPr>
          <w:ilvl w:val="1"/>
          <w:numId w:val="4"/>
        </w:numPr>
        <w:tabs>
          <w:tab w:val="clear" w:pos="0"/>
        </w:tabs>
        <w:ind w:left="1134" w:hanging="567"/>
        <w:contextualSpacing/>
        <w:jc w:val="both"/>
      </w:pPr>
      <w:r>
        <w:rPr>
          <w:lang w:val="lv-LV"/>
        </w:rPr>
        <w:t>v</w:t>
      </w:r>
      <w:r w:rsidRPr="000E3755">
        <w:t>eikt</w:t>
      </w:r>
      <w:r w:rsidRPr="000E3755">
        <w:t xml:space="preserve"> modelēšanu </w:t>
      </w:r>
      <w:r w:rsidR="002B16D7">
        <w:rPr>
          <w:lang w:val="lv-LV"/>
        </w:rPr>
        <w:t>NEKP</w:t>
      </w:r>
      <w:r w:rsidRPr="000E3755">
        <w:t xml:space="preserve"> mērķa scenārijam (tai skaitā ZIZIMM mērķa sasniegšanai)</w:t>
      </w:r>
      <w:r>
        <w:rPr>
          <w:lang w:val="lv-LV"/>
        </w:rPr>
        <w:t>,</w:t>
      </w:r>
      <w:r w:rsidRPr="000E3755">
        <w:t xml:space="preserve"> ņemot vērā nozaru ministriju sagatavotās politikas un pasākumus;</w:t>
      </w:r>
    </w:p>
    <w:p w:rsidR="000E3755" w:rsidP="55FC3B44" w14:paraId="717B8287" w14:textId="36186AC6">
      <w:pPr>
        <w:pStyle w:val="ListParagraph"/>
        <w:numPr>
          <w:ilvl w:val="1"/>
          <w:numId w:val="4"/>
        </w:numPr>
        <w:ind w:left="1134" w:hanging="567"/>
        <w:contextualSpacing/>
        <w:jc w:val="both"/>
      </w:pPr>
      <w:r>
        <w:rPr>
          <w:lang w:val="lv-LV"/>
        </w:rPr>
        <w:t>v</w:t>
      </w:r>
      <w:r>
        <w:t>eikt</w:t>
      </w:r>
      <w:r>
        <w:t xml:space="preserve"> </w:t>
      </w:r>
      <w:r w:rsidR="55FC3B44">
        <w:t xml:space="preserve">kvantitatīvo novērtējumu </w:t>
      </w:r>
      <w:r w:rsidR="002B16D7">
        <w:rPr>
          <w:lang w:val="lv-LV"/>
        </w:rPr>
        <w:t>NEKP</w:t>
      </w:r>
      <w:r w:rsidR="55FC3B44">
        <w:t xml:space="preserve"> politiku un pasākumu ietekmei uz SEG emisijām un piesaisti pa gadiem no 2021. līdz 2030. gadam</w:t>
      </w:r>
      <w:r w:rsidRPr="55FC3B44" w:rsidR="55FC3B44">
        <w:rPr>
          <w:lang w:val="lv-LV"/>
        </w:rPr>
        <w:t>;</w:t>
      </w:r>
    </w:p>
    <w:p w:rsidR="000E3755" w:rsidP="00111007" w14:paraId="2A4B7253" w14:textId="004CD6C1">
      <w:pPr>
        <w:pStyle w:val="ListParagraph"/>
        <w:numPr>
          <w:ilvl w:val="1"/>
          <w:numId w:val="4"/>
        </w:numPr>
        <w:tabs>
          <w:tab w:val="clear" w:pos="0"/>
        </w:tabs>
        <w:ind w:left="1134" w:hanging="567"/>
        <w:contextualSpacing/>
        <w:jc w:val="both"/>
      </w:pPr>
      <w:r>
        <w:rPr>
          <w:lang w:val="lv-LV"/>
        </w:rPr>
        <w:t>v</w:t>
      </w:r>
      <w:r>
        <w:t>eikt</w:t>
      </w:r>
      <w:r>
        <w:t xml:space="preserve"> </w:t>
      </w:r>
      <w:r w:rsidR="00C24A5D">
        <w:rPr>
          <w:lang w:val="lv-LV"/>
        </w:rPr>
        <w:t>NEKP</w:t>
      </w:r>
      <w:r>
        <w:t xml:space="preserve"> pasākuma izmaksu novērtējumu par vienas tonna CO</w:t>
      </w:r>
      <w:r w:rsidRPr="07F0726B">
        <w:rPr>
          <w:vertAlign w:val="subscript"/>
        </w:rPr>
        <w:t>2</w:t>
      </w:r>
      <w:r>
        <w:t xml:space="preserve"> piesaistes palielinājumu 2030. </w:t>
      </w:r>
      <w:r w:rsidRPr="07F0726B">
        <w:rPr>
          <w:lang w:val="lv-LV"/>
        </w:rPr>
        <w:t>g</w:t>
      </w:r>
      <w:r>
        <w:t>adā</w:t>
      </w:r>
      <w:r w:rsidRPr="07F0726B">
        <w:rPr>
          <w:lang w:val="lv-LV"/>
        </w:rPr>
        <w:t>;</w:t>
      </w:r>
    </w:p>
    <w:p w:rsidR="000E3755" w:rsidP="00111007" w14:paraId="2B6DA89B" w14:textId="0C198C69">
      <w:pPr>
        <w:pStyle w:val="ListParagraph"/>
        <w:numPr>
          <w:ilvl w:val="1"/>
          <w:numId w:val="4"/>
        </w:numPr>
        <w:tabs>
          <w:tab w:val="clear" w:pos="0"/>
        </w:tabs>
        <w:ind w:left="1134" w:hanging="567"/>
        <w:contextualSpacing/>
        <w:jc w:val="both"/>
      </w:pPr>
      <w:r>
        <w:rPr>
          <w:lang w:val="lv-LV"/>
        </w:rPr>
        <w:t>v</w:t>
      </w:r>
      <w:r w:rsidRPr="000E3755">
        <w:t>eikt</w:t>
      </w:r>
      <w:r w:rsidRPr="000E3755">
        <w:t xml:space="preserve"> </w:t>
      </w:r>
      <w:r w:rsidRPr="000E3755">
        <w:t xml:space="preserve">kvantitatīvo novērtējumu gaisa emisijām </w:t>
      </w:r>
      <w:r w:rsidR="002B16D7">
        <w:rPr>
          <w:lang w:val="lv-LV"/>
        </w:rPr>
        <w:t>NEKP</w:t>
      </w:r>
      <w:r w:rsidRPr="000E3755">
        <w:t xml:space="preserve"> SEG samazinošajiem pasākumiem ik pieciem gadiem sākot ar 2025. gadu līdz 2050. gadam, norādot izmantoto metodiku, avotu un ietekmētās gāzes atbilstoši noteiktajam formātam</w:t>
      </w:r>
      <w:r>
        <w:rPr>
          <w:lang w:val="lv-LV"/>
        </w:rPr>
        <w:t>;</w:t>
      </w:r>
    </w:p>
    <w:p w:rsidR="000E3755" w:rsidP="00111007" w14:paraId="28E9FC9B" w14:textId="5390F00F">
      <w:pPr>
        <w:pStyle w:val="ListParagraph"/>
        <w:numPr>
          <w:ilvl w:val="1"/>
          <w:numId w:val="4"/>
        </w:numPr>
        <w:tabs>
          <w:tab w:val="clear" w:pos="0"/>
        </w:tabs>
        <w:ind w:left="1134" w:hanging="567"/>
        <w:contextualSpacing/>
        <w:jc w:val="both"/>
      </w:pPr>
      <w:r>
        <w:rPr>
          <w:lang w:val="lv-LV"/>
        </w:rPr>
        <w:t>v</w:t>
      </w:r>
      <w:r>
        <w:t>eikt</w:t>
      </w:r>
      <w:r>
        <w:t xml:space="preserve"> </w:t>
      </w:r>
      <w:r>
        <w:t xml:space="preserve">jutīguma analīzi izstrādātajam </w:t>
      </w:r>
      <w:r w:rsidR="00C24A5D">
        <w:rPr>
          <w:lang w:val="lv-LV"/>
        </w:rPr>
        <w:t>NEKP</w:t>
      </w:r>
      <w:r>
        <w:t xml:space="preserve"> mērķa scenārijam.</w:t>
      </w:r>
    </w:p>
    <w:p w:rsidR="00F62FA3" w:rsidRPr="00B53325" w:rsidP="55FC3B44" w14:paraId="338C85EC" w14:textId="1856ED0D">
      <w:pPr>
        <w:pStyle w:val="ListParagraph"/>
        <w:numPr>
          <w:ilvl w:val="0"/>
          <w:numId w:val="4"/>
        </w:numPr>
        <w:contextualSpacing/>
        <w:jc w:val="both"/>
        <w:rPr>
          <w:szCs w:val="24"/>
          <w:lang w:val="lv-LV"/>
        </w:rPr>
      </w:pPr>
      <w:r>
        <w:t>Uzsākt darbu pie divgadu ziņojuma (</w:t>
      </w:r>
      <w:r w:rsidRPr="55FC3B44">
        <w:rPr>
          <w:i/>
          <w:iCs/>
        </w:rPr>
        <w:t>Biennial</w:t>
      </w:r>
      <w:r w:rsidRPr="55FC3B44">
        <w:rPr>
          <w:i/>
          <w:iCs/>
        </w:rPr>
        <w:t xml:space="preserve"> </w:t>
      </w:r>
      <w:r w:rsidRPr="55FC3B44">
        <w:rPr>
          <w:i/>
          <w:iCs/>
        </w:rPr>
        <w:t>Transparency</w:t>
      </w:r>
      <w:r w:rsidRPr="55FC3B44">
        <w:rPr>
          <w:i/>
          <w:iCs/>
        </w:rPr>
        <w:t xml:space="preserve"> </w:t>
      </w:r>
      <w:r w:rsidRPr="55FC3B44">
        <w:rPr>
          <w:i/>
          <w:iCs/>
        </w:rPr>
        <w:t>report</w:t>
      </w:r>
      <w:r>
        <w:t>) Parīzes nolīguma ietvaros par ZIZIMM sektoru, izmantojot</w:t>
      </w:r>
      <w:r w:rsidRPr="55FC3B44">
        <w:rPr>
          <w:color w:val="000000" w:themeColor="text1"/>
          <w:lang w:val="en-US"/>
        </w:rPr>
        <w:t xml:space="preserve"> </w:t>
      </w:r>
      <w:r w:rsidRPr="55FC3B44">
        <w:rPr>
          <w:color w:val="000000" w:themeColor="text1"/>
          <w:lang w:val="en-US"/>
        </w:rPr>
        <w:t>lēmumu</w:t>
      </w:r>
      <w:r w:rsidRPr="55FC3B44">
        <w:rPr>
          <w:color w:val="000000" w:themeColor="text1"/>
          <w:lang w:val="en-US"/>
        </w:rPr>
        <w:t xml:space="preserve"> 18/CMA.1 (</w:t>
      </w:r>
      <w:r w:rsidRPr="55FC3B44">
        <w:rPr>
          <w:i/>
          <w:iCs/>
          <w:lang w:val="en-US"/>
        </w:rPr>
        <w:t>Modalities, procedures and guidelines for the transparency framework for action and support referred to in Article 13 of the Paris Agreement</w:t>
      </w:r>
      <w:r w:rsidRPr="55FC3B44">
        <w:rPr>
          <w:lang w:val="en-US"/>
        </w:rPr>
        <w:t>)</w:t>
      </w:r>
      <w:r>
        <w:rPr>
          <w:rStyle w:val="FootnoteReference"/>
          <w:lang w:val="en-US"/>
        </w:rPr>
        <w:footnoteReference w:id="8"/>
      </w:r>
      <w:r w:rsidRPr="00E73C7F">
        <w:rPr>
          <w:color w:val="000000" w:themeColor="text1"/>
        </w:rPr>
        <w:t xml:space="preserve"> un</w:t>
      </w:r>
      <w:r w:rsidRPr="007F6C8D">
        <w:rPr>
          <w:rStyle w:val="Hyperlink"/>
          <w:szCs w:val="24"/>
          <w:u w:val="none"/>
          <w:lang w:val="en-US"/>
        </w:rPr>
        <w:t xml:space="preserve"> </w:t>
      </w:r>
      <w:r w:rsidRPr="55FC3B44">
        <w:rPr>
          <w:color w:val="000000" w:themeColor="text1"/>
          <w:lang w:val="en-US"/>
        </w:rPr>
        <w:t>Konvencijas</w:t>
      </w:r>
      <w:r w:rsidRPr="55FC3B44">
        <w:rPr>
          <w:color w:val="000000" w:themeColor="text1"/>
          <w:lang w:val="en-US"/>
        </w:rPr>
        <w:t xml:space="preserve"> </w:t>
      </w:r>
      <w:r w:rsidRPr="55FC3B44">
        <w:rPr>
          <w:color w:val="000000" w:themeColor="text1"/>
          <w:lang w:val="en-US"/>
        </w:rPr>
        <w:t>Līgumslēdzēju</w:t>
      </w:r>
      <w:r w:rsidRPr="55FC3B44">
        <w:rPr>
          <w:color w:val="000000" w:themeColor="text1"/>
          <w:lang w:val="en-US"/>
        </w:rPr>
        <w:t xml:space="preserve"> </w:t>
      </w:r>
      <w:r w:rsidRPr="55FC3B44">
        <w:rPr>
          <w:color w:val="000000" w:themeColor="text1"/>
          <w:lang w:val="en-US"/>
        </w:rPr>
        <w:t>pušu</w:t>
      </w:r>
      <w:r w:rsidRPr="55FC3B44">
        <w:rPr>
          <w:color w:val="000000" w:themeColor="text1"/>
          <w:lang w:val="en-US"/>
        </w:rPr>
        <w:t xml:space="preserve"> </w:t>
      </w:r>
      <w:r w:rsidRPr="55FC3B44">
        <w:rPr>
          <w:color w:val="000000" w:themeColor="text1"/>
          <w:lang w:val="en-US"/>
        </w:rPr>
        <w:t>Parīzes</w:t>
      </w:r>
      <w:r w:rsidRPr="55FC3B44">
        <w:rPr>
          <w:color w:val="000000" w:themeColor="text1"/>
          <w:lang w:val="en-US"/>
        </w:rPr>
        <w:t xml:space="preserve"> </w:t>
      </w:r>
      <w:r w:rsidRPr="55FC3B44">
        <w:rPr>
          <w:color w:val="000000" w:themeColor="text1"/>
          <w:lang w:val="en-US"/>
        </w:rPr>
        <w:t>vienošanās</w:t>
      </w:r>
      <w:r w:rsidRPr="55FC3B44">
        <w:rPr>
          <w:color w:val="000000" w:themeColor="text1"/>
          <w:lang w:val="en-US"/>
        </w:rPr>
        <w:t xml:space="preserve"> </w:t>
      </w:r>
      <w:r w:rsidRPr="55FC3B44">
        <w:rPr>
          <w:color w:val="000000" w:themeColor="text1"/>
          <w:lang w:val="en-US"/>
        </w:rPr>
        <w:t>sanāksmes</w:t>
      </w:r>
      <w:r w:rsidRPr="55FC3B44">
        <w:rPr>
          <w:color w:val="000000" w:themeColor="text1"/>
          <w:lang w:val="en-US"/>
        </w:rPr>
        <w:t xml:space="preserve"> </w:t>
      </w:r>
      <w:r w:rsidRPr="55FC3B44">
        <w:rPr>
          <w:color w:val="000000" w:themeColor="text1"/>
          <w:lang w:val="en-US"/>
        </w:rPr>
        <w:t>lēmumu</w:t>
      </w:r>
      <w:r w:rsidRPr="55FC3B44">
        <w:rPr>
          <w:color w:val="000000" w:themeColor="text1"/>
          <w:lang w:val="en-US"/>
        </w:rPr>
        <w:t xml:space="preserve"> 5/CMA.3 (</w:t>
      </w:r>
      <w:r w:rsidRPr="55FC3B44">
        <w:rPr>
          <w:i/>
          <w:iCs/>
          <w:color w:val="000000" w:themeColor="text1"/>
          <w:lang w:val="en-US"/>
        </w:rPr>
        <w:t>Guidance for operationalizing the modalities, procedures and guidelines for the enhanced transparency framework referred to in Article 13 of the Paris Agreement. Proposal by the President</w:t>
      </w:r>
      <w:r w:rsidRPr="55FC3B44">
        <w:rPr>
          <w:color w:val="000000" w:themeColor="text1"/>
          <w:lang w:val="en-US"/>
        </w:rPr>
        <w:t>)</w:t>
      </w:r>
      <w:r>
        <w:rPr>
          <w:rStyle w:val="FootnoteReference"/>
          <w:color w:val="000000" w:themeColor="text1"/>
          <w:lang w:val="en-US"/>
        </w:rPr>
        <w:footnoteReference w:id="9"/>
      </w:r>
    </w:p>
    <w:p w:rsidR="00271F09" w:rsidRPr="00731021" w:rsidP="001D2212" w14:paraId="4F5D8558" w14:textId="45A1CE37">
      <w:pPr>
        <w:pStyle w:val="ListParagraph"/>
        <w:numPr>
          <w:ilvl w:val="0"/>
          <w:numId w:val="4"/>
        </w:numPr>
        <w:contextualSpacing/>
        <w:jc w:val="both"/>
        <w:rPr>
          <w:lang w:val="lv-LV"/>
        </w:rPr>
      </w:pPr>
      <w:r>
        <w:t>Sniegt konsultācijas par jautājumiem, kas saistīti ar SEG aprēķiniem saistībā ar ZIZIMM sektoru</w:t>
      </w:r>
      <w:r w:rsidRPr="55FC3B44">
        <w:rPr>
          <w:lang w:val="lv-LV"/>
        </w:rPr>
        <w:t>, arī pēc nepieciešamības piedalīties sanāksmēs un informācijas/atbilžu sagatavošanā uz institūciju/sabiedrības jautājumiem</w:t>
      </w:r>
      <w:r w:rsidR="00F77313">
        <w:rPr>
          <w:lang w:val="lv-LV"/>
        </w:rPr>
        <w:t xml:space="preserve"> t</w:t>
      </w:r>
      <w:r w:rsidRPr="55FC3B44">
        <w:rPr>
          <w:lang w:val="lv-LV"/>
        </w:rPr>
        <w:t xml:space="preserve">ai skaitā </w:t>
      </w:r>
      <w:r w:rsidR="00F77313">
        <w:rPr>
          <w:lang w:val="lv-LV"/>
        </w:rPr>
        <w:t xml:space="preserve">sniegt </w:t>
      </w:r>
      <w:r w:rsidRPr="55FC3B44">
        <w:rPr>
          <w:lang w:val="lv-LV"/>
        </w:rPr>
        <w:t>atbalst</w:t>
      </w:r>
      <w:r w:rsidR="00F77313">
        <w:rPr>
          <w:lang w:val="lv-LV"/>
        </w:rPr>
        <w:t xml:space="preserve">u </w:t>
      </w:r>
      <w:r w:rsidRPr="55FC3B44">
        <w:rPr>
          <w:lang w:val="lv-LV"/>
        </w:rPr>
        <w:t>mērķu novērtēšanā pa uzskaites kategorijām.</w:t>
      </w:r>
    </w:p>
    <w:p w:rsidR="00471059" w:rsidP="00471059" w14:paraId="4AC9DC14" w14:textId="77285115">
      <w:pPr>
        <w:numPr>
          <w:ilvl w:val="0"/>
          <w:numId w:val="4"/>
        </w:numPr>
        <w:jc w:val="both"/>
      </w:pPr>
      <w:r>
        <w:t>Nodrošināt aprēķinus saistībā ar Ministru kabineta noteikumu projektu “Grozījumi Ministru kabineta 2022. gada 2. novembra noteikumos Nr. 686 "Noteikumi par ilgtspējas un siltumnīcefekta gāzu emisiju ietaupījuma kritērijiem, no biomasas kurināmā ražotās elektroenerģijas kritērijiem un kārtību, kādā pamatojama, apliecināma un uzraugāma atbilstība minētajiem kritērijiem"" (23-TA-161)</w:t>
      </w:r>
      <w:r w:rsidR="00F77313">
        <w:t>; a</w:t>
      </w:r>
      <w:r>
        <w:t xml:space="preserve">prēķini veicami par šo noteikumu 2.pielikuma 3.punktā minētās meža biomasas izejvielu ieguves un audzēšanas emisijām visai Latvijas teritorijai (šo noteikumu 2. pielikuma 3.1. apakšpunktā minētais </w:t>
      </w:r>
      <w:r>
        <w:t>e</w:t>
      </w:r>
      <w:r w:rsidRPr="55FC3B44">
        <w:rPr>
          <w:vertAlign w:val="subscript"/>
        </w:rPr>
        <w:t>ec</w:t>
      </w:r>
      <w:r>
        <w:t xml:space="preserve"> rādītājs) un meža biomasas gada emisijas, kas rodas, zemes izmantojuma maiņas ietekmē mainoties oglekļa uzkrājumam (šo noteikumu 2. pielikuma 3.1. apakšpunktā minētais el rādītājs)</w:t>
      </w:r>
      <w:r w:rsidR="0022527E">
        <w:t>,</w:t>
      </w:r>
      <w:r w:rsidRPr="0022527E" w:rsidR="0022527E">
        <w:t xml:space="preserve"> nodrošinot nepieciešamos SEG emisiju ietaupījumu aprēķinus Eiropas Savienības emisijas kvotu tirdzniecības sistēmas dalībniekiem</w:t>
      </w:r>
      <w:r w:rsidR="00F77313">
        <w:t>; a</w:t>
      </w:r>
      <w:r>
        <w:t>prēķins jābalsta uz MK noteikumiem Nr. 686 un regulu Nr. 2022/996 (VII pielikums).</w:t>
      </w:r>
    </w:p>
    <w:p w:rsidR="003C2B3A" w:rsidP="003C2B3A" w14:paraId="395867BD" w14:textId="2B8ECA27">
      <w:pPr>
        <w:pStyle w:val="NormalWeb"/>
        <w:numPr>
          <w:ilvl w:val="1"/>
          <w:numId w:val="4"/>
        </w:numPr>
        <w:spacing w:before="0" w:after="0"/>
        <w:ind w:left="1134" w:hanging="567"/>
        <w:jc w:val="both"/>
        <w:rPr>
          <w:sz w:val="22"/>
          <w:szCs w:val="22"/>
          <w:lang w:eastAsia="lv-LV"/>
        </w:rPr>
      </w:pPr>
      <w:r>
        <w:rPr>
          <w:u w:val="single"/>
        </w:rPr>
        <w:t xml:space="preserve">Parametra </w:t>
      </w:r>
      <w:r>
        <w:rPr>
          <w:u w:val="single"/>
        </w:rPr>
        <w:t>e</w:t>
      </w:r>
      <w:r>
        <w:rPr>
          <w:u w:val="single"/>
          <w:vertAlign w:val="subscript"/>
        </w:rPr>
        <w:t>ec</w:t>
      </w:r>
      <w:r>
        <w:rPr>
          <w:u w:val="single"/>
        </w:rPr>
        <w:t xml:space="preserve"> (izejvielu ieguves emisijas) aprēķināšana</w:t>
      </w:r>
      <w:r>
        <w:t xml:space="preserve">. Aprēķinā </w:t>
      </w:r>
      <w:r w:rsidR="00F77313">
        <w:t>jā</w:t>
      </w:r>
      <w:r>
        <w:t>ietver</w:t>
      </w:r>
      <w:r w:rsidR="00F77313">
        <w:t xml:space="preserve"> </w:t>
      </w:r>
      <w:r>
        <w:t xml:space="preserve">šādus </w:t>
      </w:r>
      <w:r w:rsidRPr="003C2B3A">
        <w:rPr>
          <w:color w:val="auto"/>
        </w:rPr>
        <w:t xml:space="preserve">meža </w:t>
      </w:r>
      <w:r w:rsidRPr="003C2B3A">
        <w:rPr>
          <w:color w:val="auto"/>
        </w:rPr>
        <w:t>biokurināmā</w:t>
      </w:r>
      <w:r w:rsidRPr="003C2B3A">
        <w:rPr>
          <w:color w:val="auto"/>
        </w:rPr>
        <w:t xml:space="preserve"> sagatavošanas tehnoloģiskos ciklus</w:t>
      </w:r>
      <w:r w:rsidR="00F77313">
        <w:rPr>
          <w:color w:val="auto"/>
        </w:rPr>
        <w:t>:</w:t>
      </w:r>
      <w:r w:rsidRPr="003C2B3A">
        <w:rPr>
          <w:color w:val="auto"/>
        </w:rPr>
        <w:t xml:space="preserve"> mežizstrādes atliekas galvenajā cirtē un </w:t>
      </w:r>
      <w:r w:rsidRPr="003C2B3A">
        <w:rPr>
          <w:color w:val="auto"/>
        </w:rPr>
        <w:t>starpcirtē</w:t>
      </w:r>
      <w:r w:rsidRPr="003C2B3A">
        <w:rPr>
          <w:color w:val="auto"/>
        </w:rPr>
        <w:t>, celmu koksne (</w:t>
      </w:r>
      <w:r w:rsidRPr="003C2B3A">
        <w:rPr>
          <w:color w:val="auto"/>
          <w:shd w:val="clear" w:color="auto" w:fill="FFFFFF"/>
        </w:rPr>
        <w:t>atmežošanas cirte</w:t>
      </w:r>
      <w:r w:rsidRPr="003C2B3A">
        <w:rPr>
          <w:color w:val="auto"/>
        </w:rPr>
        <w:t xml:space="preserve">), malka galvenajā cirtē un </w:t>
      </w:r>
      <w:r w:rsidRPr="003C2B3A">
        <w:rPr>
          <w:color w:val="auto"/>
        </w:rPr>
        <w:t>starpcirtē</w:t>
      </w:r>
      <w:r w:rsidRPr="003C2B3A">
        <w:rPr>
          <w:color w:val="auto"/>
        </w:rPr>
        <w:t xml:space="preserve">, koksne apauguma novākšanā (grāvju trašu un </w:t>
      </w:r>
      <w:r w:rsidRPr="003C2B3A">
        <w:rPr>
          <w:color w:val="auto"/>
        </w:rPr>
        <w:t xml:space="preserve">lauksaimniecības zemju apaugums, no neatzarotiem kokiem gatavots </w:t>
      </w:r>
      <w:r w:rsidRPr="003C2B3A">
        <w:rPr>
          <w:color w:val="auto"/>
        </w:rPr>
        <w:t>biokurināmais</w:t>
      </w:r>
      <w:r w:rsidRPr="003C2B3A">
        <w:rPr>
          <w:color w:val="auto"/>
        </w:rPr>
        <w:t>)</w:t>
      </w:r>
      <w:r w:rsidR="00F77313">
        <w:rPr>
          <w:color w:val="auto"/>
        </w:rPr>
        <w:t xml:space="preserve">; </w:t>
      </w:r>
      <w:r w:rsidRPr="003C2B3A">
        <w:rPr>
          <w:color w:val="auto"/>
        </w:rPr>
        <w:t>SEG emisijas aprēķinā</w:t>
      </w:r>
      <w:r w:rsidR="00F77313">
        <w:rPr>
          <w:color w:val="auto"/>
        </w:rPr>
        <w:t xml:space="preserve">t </w:t>
      </w:r>
      <w:r w:rsidRPr="003C2B3A">
        <w:rPr>
          <w:color w:val="auto"/>
        </w:rPr>
        <w:t xml:space="preserve">tehnoloģiskā cikla griezumā, ietverot tajā mežizstrādi un pievešanu, tajā skaitā no </w:t>
      </w:r>
      <w:r w:rsidRPr="003C2B3A">
        <w:rPr>
          <w:color w:val="auto"/>
        </w:rPr>
        <w:t>starpkrautuves</w:t>
      </w:r>
      <w:r w:rsidRPr="003C2B3A">
        <w:rPr>
          <w:color w:val="auto"/>
        </w:rPr>
        <w:t xml:space="preserve"> uz augšgala krautuvi, un </w:t>
      </w:r>
      <w:r w:rsidRPr="003C2B3A">
        <w:rPr>
          <w:color w:val="auto"/>
        </w:rPr>
        <w:t>šķeldošanu</w:t>
      </w:r>
      <w:r w:rsidRPr="003C2B3A">
        <w:rPr>
          <w:color w:val="auto"/>
        </w:rPr>
        <w:t xml:space="preserve"> beramā kurināmā veidiem. Emisijas rēķinā</w:t>
      </w:r>
      <w:r w:rsidR="00F77313">
        <w:rPr>
          <w:color w:val="auto"/>
        </w:rPr>
        <w:t xml:space="preserve">t </w:t>
      </w:r>
      <w:r w:rsidRPr="003C2B3A">
        <w:rPr>
          <w:color w:val="auto"/>
        </w:rPr>
        <w:t xml:space="preserve">atbilstoši degvielas patēriņam un ņemot vērā </w:t>
      </w:r>
      <w:r w:rsidRPr="003C2B3A">
        <w:rPr>
          <w:color w:val="auto"/>
        </w:rPr>
        <w:t>biopiedevu</w:t>
      </w:r>
      <w:r w:rsidRPr="003C2B3A">
        <w:rPr>
          <w:color w:val="auto"/>
        </w:rPr>
        <w:t xml:space="preserve"> īpatsvaru degvielā. Pētījumā, balstoties uz publiskos avotos pieejamo informāciju (avotus saskaņot ar pasūtītāju), </w:t>
      </w:r>
      <w:r>
        <w:t>Meža resursu monitoringa datiem par mežizstrādi un pētījuma ietvaros veicamu meža īpašnieku un uzņēmēju aptauju, sagatavo</w:t>
      </w:r>
      <w:r w:rsidR="00F77313">
        <w:t xml:space="preserve">t </w:t>
      </w:r>
      <w:r>
        <w:t xml:space="preserve">aprēķinu, kas raksturo kopējās SEG emisijas </w:t>
      </w:r>
      <w:r>
        <w:t>biokurināmā</w:t>
      </w:r>
      <w:r>
        <w:t xml:space="preserve"> ražošanai 2022. gadā un Latvijai raksturīgāko meža </w:t>
      </w:r>
      <w:r>
        <w:t>biokurināmā</w:t>
      </w:r>
      <w:r>
        <w:t xml:space="preserve"> sagatavošanas tehnoloģisko ciklu vidējās emisijas 2022. gadā, kā arī izveido</w:t>
      </w:r>
      <w:r w:rsidR="000E079D">
        <w:t xml:space="preserve">t </w:t>
      </w:r>
      <w:r>
        <w:t xml:space="preserve">kalkulatoru izmantošanai Microsoft Excel vai ekvivalentā datorprogrammā, lai aprēķinātu SEG emisijas Latvijai raksturīgākajiem meža </w:t>
      </w:r>
      <w:r>
        <w:t>biokurināmā</w:t>
      </w:r>
      <w:r>
        <w:t xml:space="preserve"> ražošanas tehnoloģiskajiem procesiem, izmantojot lietotāja ievadītus parametrus (degvielas patēriņš, tehnoloģiskais process). Meža </w:t>
      </w:r>
      <w:r>
        <w:t>biokurināmā</w:t>
      </w:r>
      <w:r>
        <w:t xml:space="preserve"> zudumus ražošanas procesā vērtē</w:t>
      </w:r>
      <w:r w:rsidR="000E079D">
        <w:t xml:space="preserve">t </w:t>
      </w:r>
      <w:r>
        <w:t>atbilstoši literatūrā pieejamiem datiem.</w:t>
      </w:r>
    </w:p>
    <w:p w:rsidR="003C2B3A" w:rsidP="003C2B3A" w14:paraId="0F908FA3" w14:textId="2FDC14E0">
      <w:pPr>
        <w:pStyle w:val="NormalWeb"/>
        <w:numPr>
          <w:ilvl w:val="1"/>
          <w:numId w:val="4"/>
        </w:numPr>
        <w:spacing w:before="0" w:after="0"/>
        <w:ind w:left="1134" w:hanging="708"/>
        <w:jc w:val="both"/>
      </w:pPr>
      <w:r>
        <w:rPr>
          <w:u w:val="single"/>
        </w:rPr>
        <w:t xml:space="preserve">Parametra </w:t>
      </w:r>
      <w:r>
        <w:rPr>
          <w:u w:val="single"/>
        </w:rPr>
        <w:t>e</w:t>
      </w:r>
      <w:r>
        <w:rPr>
          <w:u w:val="single"/>
          <w:vertAlign w:val="subscript"/>
        </w:rPr>
        <w:t>td</w:t>
      </w:r>
      <w:r>
        <w:rPr>
          <w:u w:val="single"/>
        </w:rPr>
        <w:t xml:space="preserve"> (transportēšanas emisijas) aprēķināšana</w:t>
      </w:r>
      <w:r>
        <w:t xml:space="preserve">. Aprēķinos </w:t>
      </w:r>
      <w:r>
        <w:t>izmantotādu</w:t>
      </w:r>
      <w:r>
        <w:t xml:space="preserve"> pašu metodisko pieeju kā parametra </w:t>
      </w:r>
      <w:r>
        <w:t>e</w:t>
      </w:r>
      <w:r>
        <w:rPr>
          <w:vertAlign w:val="subscript"/>
        </w:rPr>
        <w:t>ec</w:t>
      </w:r>
      <w:r>
        <w:t xml:space="preserve"> aprēķināšanai. Aprēķinā ietver</w:t>
      </w:r>
      <w:r w:rsidR="000E079D">
        <w:t xml:space="preserve">t </w:t>
      </w:r>
      <w:r>
        <w:t xml:space="preserve">tehnikas vienības – šķeldu vedējs, </w:t>
      </w:r>
      <w:r>
        <w:t>kokvedējs</w:t>
      </w:r>
      <w:r>
        <w:t xml:space="preserve">, frontālais iekrāvējs </w:t>
      </w:r>
      <w:r>
        <w:t>starpkrautuvē</w:t>
      </w:r>
      <w:r>
        <w:t>. Aprēķinā ietver</w:t>
      </w:r>
      <w:r w:rsidR="000E079D">
        <w:t xml:space="preserve">t </w:t>
      </w:r>
      <w:r>
        <w:t xml:space="preserve">iepriekšējā rindkopā uzskaitītā meža </w:t>
      </w:r>
      <w:r>
        <w:t>biokurināmā</w:t>
      </w:r>
      <w:r>
        <w:t xml:space="preserve"> transportēšanu no augšgala krautuves uz lejasgala krautuvi, novērtējot arī </w:t>
      </w:r>
      <w:r>
        <w:t>starpkrautuvē</w:t>
      </w:r>
      <w:r>
        <w:t xml:space="preserve"> veicamo darbību radītās SEG emisijas.</w:t>
      </w:r>
    </w:p>
    <w:p w:rsidR="003C2B3A" w:rsidP="003C2B3A" w14:paraId="37E308C0" w14:textId="54DB633E">
      <w:pPr>
        <w:pStyle w:val="NormalWeb"/>
        <w:numPr>
          <w:ilvl w:val="1"/>
          <w:numId w:val="4"/>
        </w:numPr>
        <w:spacing w:before="0" w:after="0"/>
        <w:ind w:left="1134" w:hanging="708"/>
        <w:jc w:val="both"/>
      </w:pPr>
      <w:r>
        <w:rPr>
          <w:u w:val="single"/>
        </w:rPr>
        <w:t>Parametra e</w:t>
      </w:r>
      <w:r>
        <w:rPr>
          <w:u w:val="single"/>
          <w:vertAlign w:val="subscript"/>
        </w:rPr>
        <w:t>l</w:t>
      </w:r>
      <w:r>
        <w:rPr>
          <w:u w:val="single"/>
        </w:rPr>
        <w:t xml:space="preserve"> (gada emisijas, kas rodas, zemes izmantojuma maiņas ietekmē mainoties oglekļa uzkrājumam) aprēķināšan</w:t>
      </w:r>
      <w:r w:rsidR="000E079D">
        <w:rPr>
          <w:u w:val="single"/>
        </w:rPr>
        <w:t xml:space="preserve">u </w:t>
      </w:r>
      <w:r>
        <w:t>veik</w:t>
      </w:r>
      <w:r w:rsidR="000E079D">
        <w:t>t</w:t>
      </w:r>
      <w:r>
        <w:t>, balstoties uz Meža resursu monitoringa datiem par kok</w:t>
      </w:r>
      <w:r w:rsidR="000E079D">
        <w:t xml:space="preserve">u ciršanu </w:t>
      </w:r>
      <w:r>
        <w:t>platībās, kur 2008. gadā vai vēlāk notikusi zemes izmantošanas maiņa (atmežošana un apmežošana). Oglekļa uzkrājuma aprēķinu veik</w:t>
      </w:r>
      <w:r w:rsidR="000E079D">
        <w:t xml:space="preserve">t </w:t>
      </w:r>
      <w:r>
        <w:t>atbilstoši SEG inventarizācijas ziņojumā pielietotajai metodikai, ietverot aprēķinā šādas oglekļa krātuves – dzīvā biomasa, nedzīvā koksne, zemsedze un augsne</w:t>
      </w:r>
      <w:r w:rsidR="000E079D">
        <w:t>; k</w:t>
      </w:r>
      <w:r>
        <w:t>oksnes produktus ietver</w:t>
      </w:r>
      <w:r w:rsidR="000E079D">
        <w:t xml:space="preserve">t </w:t>
      </w:r>
      <w:r>
        <w:t>aprēķinā platībās, kur veikta apmežošana, bet atmežotās platībās izmanto</w:t>
      </w:r>
      <w:r w:rsidR="000E079D">
        <w:t xml:space="preserve">t </w:t>
      </w:r>
      <w:r>
        <w:t>tūlītējas oksidācijas metodi. Apmežotajās platībās, kur veikta mežizstrāde, oglekļa uzkrājuma izmaiņu aprēķinu veik</w:t>
      </w:r>
      <w:r w:rsidR="000E079D">
        <w:t>t</w:t>
      </w:r>
      <w:r>
        <w:t xml:space="preserve">, salīdzinot situāciju pēc mežizstrādes ar bāzes scenāriju, saglabājoties zemes izmantošanas veidam, tāds tas bija pirms meža ieaudzēšanas, attiecīgi, meža </w:t>
      </w:r>
      <w:r>
        <w:t>biokurināmā</w:t>
      </w:r>
      <w:r>
        <w:t xml:space="preserve"> sagatavošana apmežotās platībās var būt arī ar negatīvām emisijām. Aprēķinu veik</w:t>
      </w:r>
      <w:r w:rsidR="000E079D">
        <w:t>t</w:t>
      </w:r>
      <w:r>
        <w:t xml:space="preserve"> atbilstoši zemes izmantošanas maiņas datiem par 2022. gadu SEG inventarizācijā. Oglekļa uzkrājuma izmaiņas attiecinā</w:t>
      </w:r>
      <w:r w:rsidR="000E079D">
        <w:t>t</w:t>
      </w:r>
      <w:r>
        <w:t xml:space="preserve"> uz visu zemes izmantošanas maiņas rezultātā iegūto biomasu oglekļa izteiksmē, uz </w:t>
      </w:r>
      <w:r>
        <w:t>biokurināmo</w:t>
      </w:r>
      <w:r>
        <w:t xml:space="preserve"> attiecināmās oglekļa uzkrājuma izmaiņas pārrēķinot par g·GJ</w:t>
      </w:r>
      <w:r>
        <w:rPr>
          <w:vertAlign w:val="superscript"/>
        </w:rPr>
        <w:t>-1</w:t>
      </w:r>
      <w:r>
        <w:t xml:space="preserve">. </w:t>
      </w:r>
      <w:r>
        <w:t>Biokurināmā</w:t>
      </w:r>
      <w:r>
        <w:t xml:space="preserve"> iznākuma raksturošanai izmanto</w:t>
      </w:r>
      <w:r w:rsidR="000E079D">
        <w:t xml:space="preserve">t </w:t>
      </w:r>
      <w:r>
        <w:t>SEG inventarizācijas ziņojuma metodiku, izveido</w:t>
      </w:r>
      <w:r w:rsidR="000E079D">
        <w:t>t</w:t>
      </w:r>
      <w:r>
        <w:t xml:space="preserve"> Microsoft Excel vai ekvivalentā datorprogrammā izmantojamu kalkulatoru oglekļa uzkrājuma izmaiņu aprēķināšanai, izmantojot Meža valsts reģistra datus, nodrošinot tādu pašu detalizācijas līmeni, kāds ir SEG inventarizācijas ziņojumā.</w:t>
      </w:r>
    </w:p>
    <w:p w:rsidR="003C2B3A" w:rsidP="003C2B3A" w14:paraId="41BCD7C4" w14:textId="77777777">
      <w:pPr>
        <w:ind w:left="360"/>
        <w:jc w:val="both"/>
      </w:pPr>
    </w:p>
    <w:p w:rsidR="00581D72" w:rsidRPr="0094678C" w:rsidP="001D2212" w14:paraId="30FA90BE" w14:textId="097E109D">
      <w:pPr>
        <w:numPr>
          <w:ilvl w:val="0"/>
          <w:numId w:val="4"/>
        </w:numPr>
        <w:jc w:val="both"/>
      </w:pPr>
      <w:r w:rsidRPr="005A5A09">
        <w:rPr>
          <w:spacing w:val="-4"/>
        </w:rPr>
        <w:t xml:space="preserve">Sagatavot kopsavilkuma </w:t>
      </w:r>
      <w:r w:rsidR="000E079D">
        <w:rPr>
          <w:spacing w:val="-4"/>
        </w:rPr>
        <w:t xml:space="preserve">pārskatu </w:t>
      </w:r>
      <w:r w:rsidRPr="005A5A09">
        <w:rPr>
          <w:spacing w:val="-4"/>
        </w:rPr>
        <w:t xml:space="preserve">par šā Līguma 1. pielikumā minēto uzdevumu izpildi latviešu valodā, pievienojot visus izmantotos un sagatavotos materiālus (tai skaitā Excel fails ar datiem - aktīviem datiem, pieņēmumiem, emisijām), nosūtot uz e-pasta adresēm – </w:t>
      </w:r>
      <w:hyperlink r:id="rId7" w:history="1">
        <w:r w:rsidRPr="005A5A09" w:rsidR="00E14B0C">
          <w:rPr>
            <w:rStyle w:val="Hyperlink"/>
            <w:spacing w:val="-4"/>
          </w:rPr>
          <w:t>agita.gancone@</w:t>
        </w:r>
        <w:r w:rsidRPr="259486F5" w:rsidR="00E14B0C">
          <w:rPr>
            <w:rStyle w:val="Hyperlink"/>
          </w:rPr>
          <w:t>kem</w:t>
        </w:r>
        <w:r w:rsidRPr="005A5A09" w:rsidR="00E14B0C">
          <w:rPr>
            <w:rStyle w:val="Hyperlink"/>
            <w:spacing w:val="-4"/>
          </w:rPr>
          <w:t>.gov.lv</w:t>
        </w:r>
      </w:hyperlink>
      <w:r w:rsidRPr="005A5A09">
        <w:rPr>
          <w:spacing w:val="-4"/>
        </w:rPr>
        <w:t>,</w:t>
      </w:r>
      <w:r>
        <w:t xml:space="preserve"> </w:t>
      </w:r>
      <w:hyperlink r:id="rId8" w:history="1">
        <w:r w:rsidRPr="00D43C4B" w:rsidR="00F50406">
          <w:rPr>
            <w:rStyle w:val="Hyperlink"/>
          </w:rPr>
          <w:t>arta.dimbiere@kem.gov.lv</w:t>
        </w:r>
      </w:hyperlink>
      <w:r w:rsidR="005A5A09">
        <w:t xml:space="preserve">, </w:t>
      </w:r>
      <w:hyperlink r:id="rId9" w:history="1">
        <w:r w:rsidRPr="00D43C4B" w:rsidR="0094678C">
          <w:rPr>
            <w:rStyle w:val="Hyperlink"/>
          </w:rPr>
          <w:t>liga.platace@kem.gov.lv</w:t>
        </w:r>
      </w:hyperlink>
      <w:r w:rsidRPr="005A5A09">
        <w:rPr>
          <w:spacing w:val="-4"/>
        </w:rPr>
        <w:t>.</w:t>
      </w:r>
    </w:p>
    <w:p w:rsidR="00DA53EA" w:rsidP="00564599" w14:paraId="626BE492" w14:textId="77777777">
      <w:pPr>
        <w:pStyle w:val="ListParagraph"/>
        <w:numPr>
          <w:ilvl w:val="0"/>
          <w:numId w:val="4"/>
        </w:numPr>
        <w:contextualSpacing/>
        <w:jc w:val="both"/>
      </w:pPr>
      <w:r>
        <w:t>Plānoto uzdevumu izpildes termiņi ir apkopoti šā Līguma 1. pielikuma 1. tabulā.</w:t>
      </w:r>
    </w:p>
    <w:p w:rsidR="00654224" w14:paraId="602CA701" w14:textId="6306D2E3">
      <w:pPr>
        <w:suppressAutoHyphens w:val="0"/>
      </w:pPr>
      <w:r>
        <w:br w:type="page"/>
      </w:r>
    </w:p>
    <w:p w:rsidR="00D1118F" w14:paraId="61A0F9AD" w14:textId="77777777">
      <w:pPr>
        <w:spacing w:after="120"/>
        <w:jc w:val="right"/>
      </w:pPr>
    </w:p>
    <w:p w:rsidR="00DA53EA" w14:paraId="2C0FB5C5" w14:textId="5AE6C1AD">
      <w:pPr>
        <w:spacing w:after="120"/>
        <w:jc w:val="right"/>
      </w:pPr>
      <w:r>
        <w:t>1.tabula: Uzdevumu izpildes termiņi.</w:t>
      </w:r>
    </w:p>
    <w:tbl>
      <w:tblPr>
        <w:tblW w:w="4919" w:type="pct"/>
        <w:tblInd w:w="137" w:type="dxa"/>
        <w:tblLayout w:type="fixed"/>
        <w:tblCellMar>
          <w:left w:w="103" w:type="dxa"/>
        </w:tblCellMar>
        <w:tblLook w:val="0000"/>
      </w:tblPr>
      <w:tblGrid>
        <w:gridCol w:w="1090"/>
        <w:gridCol w:w="2303"/>
        <w:gridCol w:w="5383"/>
      </w:tblGrid>
      <w:tr w14:paraId="6E1D5EFE" w14:textId="77777777" w:rsidTr="00D57070">
        <w:tblPrEx>
          <w:tblW w:w="4919" w:type="pct"/>
          <w:tblInd w:w="137" w:type="dxa"/>
          <w:tblLayout w:type="fixed"/>
          <w:tblCellMar>
            <w:left w:w="103" w:type="dxa"/>
          </w:tblCellMar>
          <w:tblLook w:val="0000"/>
        </w:tblPrEx>
        <w:tc>
          <w:tcPr>
            <w:tcW w:w="1090" w:type="dxa"/>
            <w:tcBorders>
              <w:top w:val="single" w:sz="4" w:space="0" w:color="00000A"/>
              <w:left w:val="single" w:sz="4" w:space="0" w:color="00000A"/>
              <w:bottom w:val="single" w:sz="4" w:space="0" w:color="00000A"/>
            </w:tcBorders>
            <w:shd w:val="clear" w:color="auto" w:fill="auto"/>
          </w:tcPr>
          <w:p w:rsidR="00DA53EA" w14:paraId="71BD0953" w14:textId="77777777">
            <w:pPr>
              <w:jc w:val="center"/>
            </w:pPr>
            <w:r>
              <w:t>Nr. p. k.</w:t>
            </w:r>
          </w:p>
        </w:tc>
        <w:tc>
          <w:tcPr>
            <w:tcW w:w="2303" w:type="dxa"/>
            <w:tcBorders>
              <w:top w:val="single" w:sz="4" w:space="0" w:color="00000A"/>
              <w:left w:val="single" w:sz="4" w:space="0" w:color="00000A"/>
              <w:bottom w:val="single" w:sz="4" w:space="0" w:color="00000A"/>
            </w:tcBorders>
            <w:shd w:val="clear" w:color="auto" w:fill="auto"/>
          </w:tcPr>
          <w:p w:rsidR="00DA53EA" w14:paraId="7C1BAF48" w14:textId="77777777">
            <w:pPr>
              <w:jc w:val="center"/>
            </w:pPr>
            <w:r>
              <w:t>Uzdevums</w:t>
            </w:r>
          </w:p>
        </w:tc>
        <w:tc>
          <w:tcPr>
            <w:tcW w:w="5383" w:type="dxa"/>
            <w:tcBorders>
              <w:top w:val="single" w:sz="4" w:space="0" w:color="00000A"/>
              <w:left w:val="single" w:sz="4" w:space="0" w:color="00000A"/>
              <w:bottom w:val="single" w:sz="4" w:space="0" w:color="00000A"/>
              <w:right w:val="single" w:sz="4" w:space="0" w:color="00000A"/>
            </w:tcBorders>
            <w:shd w:val="clear" w:color="auto" w:fill="auto"/>
          </w:tcPr>
          <w:p w:rsidR="00DA53EA" w14:paraId="4D20605B" w14:textId="77777777">
            <w:pPr>
              <w:jc w:val="center"/>
            </w:pPr>
            <w:r>
              <w:t>Uzdevuma izpildes gala termiņš</w:t>
            </w:r>
          </w:p>
        </w:tc>
      </w:tr>
      <w:tr w14:paraId="0C94F275" w14:textId="77777777" w:rsidTr="00D57070">
        <w:tblPrEx>
          <w:tblW w:w="4919" w:type="pct"/>
          <w:tblInd w:w="137" w:type="dxa"/>
          <w:tblLayout w:type="fixed"/>
          <w:tblCellMar>
            <w:left w:w="103" w:type="dxa"/>
          </w:tblCellMar>
          <w:tblLook w:val="0000"/>
        </w:tblPrEx>
        <w:tc>
          <w:tcPr>
            <w:tcW w:w="1090" w:type="dxa"/>
            <w:tcBorders>
              <w:top w:val="single" w:sz="4" w:space="0" w:color="00000A"/>
              <w:left w:val="single" w:sz="4" w:space="0" w:color="00000A"/>
              <w:bottom w:val="single" w:sz="4" w:space="0" w:color="00000A"/>
            </w:tcBorders>
            <w:shd w:val="clear" w:color="auto" w:fill="auto"/>
          </w:tcPr>
          <w:p w:rsidR="00DA53EA" w:rsidP="00B91858" w14:paraId="77D2319A" w14:textId="77777777">
            <w:pPr>
              <w:numPr>
                <w:ilvl w:val="0"/>
                <w:numId w:val="5"/>
              </w:numPr>
              <w:suppressAutoHyphens w:val="0"/>
              <w:snapToGrid w:val="0"/>
              <w:spacing w:after="160" w:line="254" w:lineRule="auto"/>
              <w:jc w:val="center"/>
            </w:pPr>
          </w:p>
        </w:tc>
        <w:tc>
          <w:tcPr>
            <w:tcW w:w="2303" w:type="dxa"/>
            <w:tcBorders>
              <w:top w:val="single" w:sz="4" w:space="0" w:color="00000A"/>
              <w:left w:val="single" w:sz="4" w:space="0" w:color="00000A"/>
              <w:bottom w:val="single" w:sz="4" w:space="0" w:color="00000A"/>
            </w:tcBorders>
            <w:shd w:val="clear" w:color="auto" w:fill="auto"/>
          </w:tcPr>
          <w:p w:rsidR="00DA53EA" w14:paraId="55C5E08C" w14:textId="77777777">
            <w:pPr>
              <w:ind w:left="459"/>
              <w:jc w:val="center"/>
            </w:pPr>
            <w:r>
              <w:t>1.</w:t>
            </w:r>
          </w:p>
        </w:tc>
        <w:tc>
          <w:tcPr>
            <w:tcW w:w="5383" w:type="dxa"/>
            <w:tcBorders>
              <w:top w:val="single" w:sz="4" w:space="0" w:color="00000A"/>
              <w:left w:val="single" w:sz="4" w:space="0" w:color="00000A"/>
              <w:bottom w:val="single" w:sz="4" w:space="0" w:color="00000A"/>
              <w:right w:val="single" w:sz="4" w:space="0" w:color="00000A"/>
            </w:tcBorders>
            <w:shd w:val="clear" w:color="auto" w:fill="auto"/>
          </w:tcPr>
          <w:p w:rsidR="00DA53EA" w14:paraId="23444197" w14:textId="67A18618">
            <w:pPr>
              <w:ind w:left="317"/>
              <w:jc w:val="center"/>
            </w:pPr>
            <w:r>
              <w:t>202</w:t>
            </w:r>
            <w:r w:rsidR="002A03F2">
              <w:t>3</w:t>
            </w:r>
            <w:r>
              <w:t>. gada 31. decembris</w:t>
            </w:r>
          </w:p>
        </w:tc>
      </w:tr>
      <w:tr w14:paraId="039326A2" w14:textId="77777777" w:rsidTr="00D57070">
        <w:tblPrEx>
          <w:tblW w:w="4919" w:type="pct"/>
          <w:tblInd w:w="137" w:type="dxa"/>
          <w:tblLayout w:type="fixed"/>
          <w:tblCellMar>
            <w:left w:w="103" w:type="dxa"/>
          </w:tblCellMar>
          <w:tblLook w:val="0000"/>
        </w:tblPrEx>
        <w:tc>
          <w:tcPr>
            <w:tcW w:w="1090" w:type="dxa"/>
            <w:tcBorders>
              <w:top w:val="single" w:sz="4" w:space="0" w:color="00000A"/>
              <w:left w:val="single" w:sz="4" w:space="0" w:color="00000A"/>
              <w:bottom w:val="single" w:sz="4" w:space="0" w:color="00000A"/>
            </w:tcBorders>
            <w:shd w:val="clear" w:color="auto" w:fill="auto"/>
          </w:tcPr>
          <w:p w:rsidR="00DA53EA" w:rsidP="00B91858" w14:paraId="4926399C" w14:textId="77777777">
            <w:pPr>
              <w:numPr>
                <w:ilvl w:val="0"/>
                <w:numId w:val="5"/>
              </w:numPr>
              <w:suppressAutoHyphens w:val="0"/>
              <w:snapToGrid w:val="0"/>
              <w:spacing w:after="160" w:line="254" w:lineRule="auto"/>
              <w:jc w:val="center"/>
            </w:pPr>
          </w:p>
        </w:tc>
        <w:tc>
          <w:tcPr>
            <w:tcW w:w="2303" w:type="dxa"/>
            <w:tcBorders>
              <w:top w:val="single" w:sz="4" w:space="0" w:color="00000A"/>
              <w:left w:val="single" w:sz="4" w:space="0" w:color="00000A"/>
              <w:bottom w:val="single" w:sz="4" w:space="0" w:color="00000A"/>
            </w:tcBorders>
            <w:shd w:val="clear" w:color="auto" w:fill="auto"/>
          </w:tcPr>
          <w:p w:rsidR="00DA53EA" w14:paraId="5A7CFDF9" w14:textId="77777777">
            <w:pPr>
              <w:ind w:left="459"/>
              <w:jc w:val="center"/>
            </w:pPr>
            <w:r>
              <w:t>2.</w:t>
            </w:r>
          </w:p>
        </w:tc>
        <w:tc>
          <w:tcPr>
            <w:tcW w:w="5383" w:type="dxa"/>
            <w:tcBorders>
              <w:top w:val="single" w:sz="4" w:space="0" w:color="00000A"/>
              <w:left w:val="single" w:sz="4" w:space="0" w:color="00000A"/>
              <w:bottom w:val="single" w:sz="4" w:space="0" w:color="00000A"/>
              <w:right w:val="single" w:sz="4" w:space="0" w:color="00000A"/>
            </w:tcBorders>
            <w:shd w:val="clear" w:color="auto" w:fill="auto"/>
          </w:tcPr>
          <w:p w:rsidR="00DA53EA" w14:paraId="08280D4E" w14:textId="3F9AF998">
            <w:pPr>
              <w:jc w:val="center"/>
            </w:pPr>
            <w:r>
              <w:t>2023. gada 15. decembris</w:t>
            </w:r>
          </w:p>
        </w:tc>
      </w:tr>
      <w:tr w14:paraId="2254B9DA" w14:textId="77777777" w:rsidTr="00D57070">
        <w:tblPrEx>
          <w:tblW w:w="4919" w:type="pct"/>
          <w:tblInd w:w="137" w:type="dxa"/>
          <w:tblLayout w:type="fixed"/>
          <w:tblCellMar>
            <w:left w:w="103" w:type="dxa"/>
          </w:tblCellMar>
          <w:tblLook w:val="0000"/>
        </w:tblPrEx>
        <w:tc>
          <w:tcPr>
            <w:tcW w:w="1090" w:type="dxa"/>
            <w:tcBorders>
              <w:top w:val="single" w:sz="4" w:space="0" w:color="00000A"/>
              <w:left w:val="single" w:sz="4" w:space="0" w:color="00000A"/>
              <w:bottom w:val="single" w:sz="4" w:space="0" w:color="00000A"/>
            </w:tcBorders>
            <w:shd w:val="clear" w:color="auto" w:fill="auto"/>
          </w:tcPr>
          <w:p w:rsidR="00DA53EA" w:rsidP="00B91858" w14:paraId="3F3DB84B" w14:textId="77777777">
            <w:pPr>
              <w:numPr>
                <w:ilvl w:val="0"/>
                <w:numId w:val="5"/>
              </w:numPr>
              <w:suppressAutoHyphens w:val="0"/>
              <w:snapToGrid w:val="0"/>
              <w:spacing w:after="160" w:line="254" w:lineRule="auto"/>
              <w:jc w:val="center"/>
            </w:pPr>
          </w:p>
        </w:tc>
        <w:tc>
          <w:tcPr>
            <w:tcW w:w="2303" w:type="dxa"/>
            <w:tcBorders>
              <w:top w:val="single" w:sz="4" w:space="0" w:color="00000A"/>
              <w:left w:val="single" w:sz="4" w:space="0" w:color="00000A"/>
              <w:bottom w:val="single" w:sz="4" w:space="0" w:color="00000A"/>
            </w:tcBorders>
            <w:shd w:val="clear" w:color="auto" w:fill="auto"/>
          </w:tcPr>
          <w:p w:rsidR="00DA53EA" w14:paraId="3DD3EBDD" w14:textId="77777777">
            <w:pPr>
              <w:ind w:left="459"/>
              <w:jc w:val="center"/>
            </w:pPr>
            <w:r>
              <w:t>3.</w:t>
            </w:r>
          </w:p>
        </w:tc>
        <w:tc>
          <w:tcPr>
            <w:tcW w:w="5383" w:type="dxa"/>
            <w:tcBorders>
              <w:top w:val="single" w:sz="4" w:space="0" w:color="00000A"/>
              <w:left w:val="single" w:sz="4" w:space="0" w:color="00000A"/>
              <w:bottom w:val="single" w:sz="4" w:space="0" w:color="00000A"/>
              <w:right w:val="single" w:sz="4" w:space="0" w:color="00000A"/>
            </w:tcBorders>
            <w:shd w:val="clear" w:color="auto" w:fill="auto"/>
          </w:tcPr>
          <w:p w:rsidR="00DA53EA" w14:paraId="060C563B" w14:textId="5A962887">
            <w:pPr>
              <w:jc w:val="center"/>
            </w:pPr>
            <w:r>
              <w:t>2023.gada 1.jūlijs</w:t>
            </w:r>
          </w:p>
        </w:tc>
      </w:tr>
      <w:tr w14:paraId="79B8FAC0" w14:textId="77777777" w:rsidTr="00D57070">
        <w:tblPrEx>
          <w:tblW w:w="4919" w:type="pct"/>
          <w:tblInd w:w="137" w:type="dxa"/>
          <w:tblLayout w:type="fixed"/>
          <w:tblCellMar>
            <w:left w:w="103" w:type="dxa"/>
          </w:tblCellMar>
          <w:tblLook w:val="0000"/>
        </w:tblPrEx>
        <w:trPr>
          <w:trHeight w:val="367"/>
        </w:trPr>
        <w:tc>
          <w:tcPr>
            <w:tcW w:w="1090" w:type="dxa"/>
            <w:tcBorders>
              <w:top w:val="single" w:sz="4" w:space="0" w:color="00000A"/>
              <w:left w:val="single" w:sz="4" w:space="0" w:color="00000A"/>
              <w:bottom w:val="single" w:sz="4" w:space="0" w:color="00000A"/>
            </w:tcBorders>
            <w:shd w:val="clear" w:color="auto" w:fill="auto"/>
          </w:tcPr>
          <w:p w:rsidR="00DA53EA" w:rsidP="00B91858" w14:paraId="276A9E50" w14:textId="77777777">
            <w:pPr>
              <w:numPr>
                <w:ilvl w:val="0"/>
                <w:numId w:val="5"/>
              </w:numPr>
              <w:suppressAutoHyphens w:val="0"/>
              <w:snapToGrid w:val="0"/>
              <w:spacing w:after="160" w:line="254" w:lineRule="auto"/>
              <w:jc w:val="center"/>
            </w:pPr>
          </w:p>
        </w:tc>
        <w:tc>
          <w:tcPr>
            <w:tcW w:w="2303" w:type="dxa"/>
            <w:tcBorders>
              <w:top w:val="single" w:sz="4" w:space="0" w:color="00000A"/>
              <w:left w:val="single" w:sz="4" w:space="0" w:color="00000A"/>
              <w:bottom w:val="single" w:sz="4" w:space="0" w:color="00000A"/>
            </w:tcBorders>
            <w:shd w:val="clear" w:color="auto" w:fill="auto"/>
          </w:tcPr>
          <w:p w:rsidR="00DA53EA" w14:paraId="40482CCB" w14:textId="77777777">
            <w:pPr>
              <w:ind w:left="459"/>
              <w:jc w:val="center"/>
            </w:pPr>
            <w:r>
              <w:t>4.</w:t>
            </w:r>
          </w:p>
        </w:tc>
        <w:tc>
          <w:tcPr>
            <w:tcW w:w="5383" w:type="dxa"/>
            <w:tcBorders>
              <w:top w:val="single" w:sz="4" w:space="0" w:color="00000A"/>
              <w:left w:val="single" w:sz="4" w:space="0" w:color="00000A"/>
              <w:bottom w:val="single" w:sz="4" w:space="0" w:color="00000A"/>
              <w:right w:val="single" w:sz="4" w:space="0" w:color="00000A"/>
            </w:tcBorders>
            <w:shd w:val="clear" w:color="auto" w:fill="auto"/>
          </w:tcPr>
          <w:p w:rsidR="00DA53EA" w14:paraId="2BEB3765" w14:textId="29E34169">
            <w:pPr>
              <w:jc w:val="center"/>
            </w:pPr>
            <w:r>
              <w:t>202</w:t>
            </w:r>
            <w:r w:rsidR="002A03F2">
              <w:t>3</w:t>
            </w:r>
            <w:r>
              <w:t>. gada 31. decembris</w:t>
            </w:r>
          </w:p>
        </w:tc>
      </w:tr>
      <w:tr w14:paraId="6C38B37C" w14:textId="77777777" w:rsidTr="00D57070">
        <w:tblPrEx>
          <w:tblW w:w="4919" w:type="pct"/>
          <w:tblInd w:w="137" w:type="dxa"/>
          <w:tblLayout w:type="fixed"/>
          <w:tblCellMar>
            <w:left w:w="103" w:type="dxa"/>
          </w:tblCellMar>
          <w:tblLook w:val="0000"/>
        </w:tblPrEx>
        <w:tc>
          <w:tcPr>
            <w:tcW w:w="1090" w:type="dxa"/>
            <w:tcBorders>
              <w:top w:val="single" w:sz="4" w:space="0" w:color="00000A"/>
              <w:left w:val="single" w:sz="4" w:space="0" w:color="00000A"/>
              <w:bottom w:val="single" w:sz="4" w:space="0" w:color="00000A"/>
            </w:tcBorders>
            <w:shd w:val="clear" w:color="auto" w:fill="auto"/>
          </w:tcPr>
          <w:p w:rsidR="00DA53EA" w:rsidRPr="00F01F7B" w:rsidP="00B91858" w14:paraId="48788884" w14:textId="77777777">
            <w:pPr>
              <w:suppressAutoHyphens w:val="0"/>
              <w:snapToGrid w:val="0"/>
              <w:spacing w:after="160" w:line="254" w:lineRule="auto"/>
              <w:jc w:val="center"/>
              <w:rPr>
                <w:color w:val="000000"/>
                <w:highlight w:val="yellow"/>
              </w:rPr>
            </w:pPr>
            <w:r w:rsidRPr="00F01F7B">
              <w:rPr>
                <w:color w:val="000000"/>
              </w:rPr>
              <w:t>5.</w:t>
            </w:r>
          </w:p>
        </w:tc>
        <w:tc>
          <w:tcPr>
            <w:tcW w:w="2303" w:type="dxa"/>
            <w:tcBorders>
              <w:top w:val="single" w:sz="4" w:space="0" w:color="00000A"/>
              <w:left w:val="single" w:sz="4" w:space="0" w:color="00000A"/>
              <w:bottom w:val="single" w:sz="4" w:space="0" w:color="00000A"/>
            </w:tcBorders>
            <w:shd w:val="clear" w:color="auto" w:fill="auto"/>
          </w:tcPr>
          <w:p w:rsidR="00DA53EA" w:rsidRPr="00B91858" w14:paraId="531A1807" w14:textId="77777777">
            <w:pPr>
              <w:ind w:left="459"/>
              <w:jc w:val="center"/>
            </w:pPr>
            <w:r w:rsidRPr="00B91858">
              <w:t>5.</w:t>
            </w:r>
          </w:p>
        </w:tc>
        <w:tc>
          <w:tcPr>
            <w:tcW w:w="5383" w:type="dxa"/>
            <w:tcBorders>
              <w:top w:val="single" w:sz="4" w:space="0" w:color="00000A"/>
              <w:left w:val="single" w:sz="4" w:space="0" w:color="00000A"/>
              <w:bottom w:val="single" w:sz="4" w:space="0" w:color="00000A"/>
              <w:right w:val="single" w:sz="4" w:space="0" w:color="00000A"/>
            </w:tcBorders>
            <w:shd w:val="clear" w:color="auto" w:fill="auto"/>
          </w:tcPr>
          <w:p w:rsidR="00DA53EA" w14:paraId="2B18A9D9" w14:textId="7535A6F9">
            <w:pPr>
              <w:jc w:val="center"/>
            </w:pPr>
            <w:r>
              <w:t>202</w:t>
            </w:r>
            <w:r w:rsidR="002A03F2">
              <w:t>3</w:t>
            </w:r>
            <w:r>
              <w:t>. gada 31. decembris</w:t>
            </w:r>
          </w:p>
        </w:tc>
      </w:tr>
      <w:tr w14:paraId="01BD5E34" w14:textId="77777777" w:rsidTr="00D57070">
        <w:tblPrEx>
          <w:tblW w:w="4919" w:type="pct"/>
          <w:tblInd w:w="137" w:type="dxa"/>
          <w:tblLayout w:type="fixed"/>
          <w:tblCellMar>
            <w:left w:w="103" w:type="dxa"/>
          </w:tblCellMar>
          <w:tblLook w:val="0000"/>
        </w:tblPrEx>
        <w:tc>
          <w:tcPr>
            <w:tcW w:w="1090" w:type="dxa"/>
            <w:tcBorders>
              <w:top w:val="single" w:sz="4" w:space="0" w:color="00000A"/>
              <w:left w:val="single" w:sz="4" w:space="0" w:color="00000A"/>
              <w:bottom w:val="single" w:sz="4" w:space="0" w:color="00000A"/>
            </w:tcBorders>
            <w:shd w:val="clear" w:color="auto" w:fill="auto"/>
          </w:tcPr>
          <w:p w:rsidR="00DA53EA" w:rsidP="00B91858" w14:paraId="564A8B17" w14:textId="77777777">
            <w:pPr>
              <w:suppressAutoHyphens w:val="0"/>
              <w:snapToGrid w:val="0"/>
              <w:spacing w:after="160" w:line="254" w:lineRule="auto"/>
              <w:jc w:val="center"/>
            </w:pPr>
            <w:r>
              <w:t>6.</w:t>
            </w:r>
          </w:p>
        </w:tc>
        <w:tc>
          <w:tcPr>
            <w:tcW w:w="2303" w:type="dxa"/>
            <w:tcBorders>
              <w:top w:val="single" w:sz="4" w:space="0" w:color="00000A"/>
              <w:left w:val="single" w:sz="4" w:space="0" w:color="00000A"/>
              <w:bottom w:val="single" w:sz="4" w:space="0" w:color="00000A"/>
            </w:tcBorders>
            <w:shd w:val="clear" w:color="auto" w:fill="auto"/>
          </w:tcPr>
          <w:p w:rsidR="00DA53EA" w14:paraId="04C6D2B1" w14:textId="77777777">
            <w:pPr>
              <w:ind w:left="459"/>
              <w:jc w:val="center"/>
            </w:pPr>
            <w:r>
              <w:t>6.</w:t>
            </w:r>
          </w:p>
        </w:tc>
        <w:tc>
          <w:tcPr>
            <w:tcW w:w="5383" w:type="dxa"/>
            <w:tcBorders>
              <w:top w:val="single" w:sz="4" w:space="0" w:color="00000A"/>
              <w:left w:val="single" w:sz="4" w:space="0" w:color="00000A"/>
              <w:bottom w:val="single" w:sz="4" w:space="0" w:color="00000A"/>
              <w:right w:val="single" w:sz="4" w:space="0" w:color="00000A"/>
            </w:tcBorders>
            <w:shd w:val="clear" w:color="auto" w:fill="auto"/>
          </w:tcPr>
          <w:p w:rsidR="00DA53EA" w14:paraId="5A8D81E7" w14:textId="09B902C6">
            <w:pPr>
              <w:jc w:val="center"/>
            </w:pPr>
            <w:r>
              <w:t>202</w:t>
            </w:r>
            <w:r w:rsidR="002A03F2">
              <w:t>3</w:t>
            </w:r>
            <w:r>
              <w:t>. gada 31. decembris</w:t>
            </w:r>
          </w:p>
        </w:tc>
      </w:tr>
      <w:tr w14:paraId="28DD07DF" w14:textId="77777777" w:rsidTr="00D57070">
        <w:tblPrEx>
          <w:tblW w:w="4919" w:type="pct"/>
          <w:tblInd w:w="137" w:type="dxa"/>
          <w:tblLayout w:type="fixed"/>
          <w:tblCellMar>
            <w:left w:w="103" w:type="dxa"/>
          </w:tblCellMar>
          <w:tblLook w:val="0000"/>
        </w:tblPrEx>
        <w:tc>
          <w:tcPr>
            <w:tcW w:w="1090" w:type="dxa"/>
            <w:tcBorders>
              <w:top w:val="single" w:sz="4" w:space="0" w:color="00000A"/>
              <w:left w:val="single" w:sz="4" w:space="0" w:color="00000A"/>
              <w:bottom w:val="single" w:sz="4" w:space="0" w:color="00000A"/>
            </w:tcBorders>
            <w:shd w:val="clear" w:color="auto" w:fill="auto"/>
          </w:tcPr>
          <w:p w:rsidR="00DA53EA" w:rsidP="00B91858" w14:paraId="58D397DA" w14:textId="77777777">
            <w:pPr>
              <w:suppressAutoHyphens w:val="0"/>
              <w:snapToGrid w:val="0"/>
              <w:spacing w:after="160" w:line="254" w:lineRule="auto"/>
              <w:jc w:val="center"/>
            </w:pPr>
            <w:r>
              <w:t>7.</w:t>
            </w:r>
          </w:p>
        </w:tc>
        <w:tc>
          <w:tcPr>
            <w:tcW w:w="2303" w:type="dxa"/>
            <w:tcBorders>
              <w:top w:val="single" w:sz="4" w:space="0" w:color="00000A"/>
              <w:left w:val="single" w:sz="4" w:space="0" w:color="00000A"/>
              <w:bottom w:val="single" w:sz="4" w:space="0" w:color="00000A"/>
            </w:tcBorders>
            <w:shd w:val="clear" w:color="auto" w:fill="auto"/>
          </w:tcPr>
          <w:p w:rsidR="00DA53EA" w14:paraId="4875716B" w14:textId="77777777">
            <w:pPr>
              <w:ind w:left="459"/>
              <w:jc w:val="center"/>
            </w:pPr>
            <w:r>
              <w:t>7.</w:t>
            </w:r>
          </w:p>
        </w:tc>
        <w:tc>
          <w:tcPr>
            <w:tcW w:w="5383" w:type="dxa"/>
            <w:tcBorders>
              <w:top w:val="single" w:sz="4" w:space="0" w:color="00000A"/>
              <w:left w:val="single" w:sz="4" w:space="0" w:color="00000A"/>
              <w:bottom w:val="single" w:sz="4" w:space="0" w:color="00000A"/>
              <w:right w:val="single" w:sz="4" w:space="0" w:color="00000A"/>
            </w:tcBorders>
            <w:shd w:val="clear" w:color="auto" w:fill="auto"/>
          </w:tcPr>
          <w:p w:rsidR="00DA53EA" w14:paraId="5C8D03F0" w14:textId="54055A96">
            <w:pPr>
              <w:jc w:val="center"/>
            </w:pPr>
            <w:r>
              <w:t>202</w:t>
            </w:r>
            <w:r w:rsidR="002A03F2">
              <w:t>3</w:t>
            </w:r>
            <w:r>
              <w:t xml:space="preserve">. gada </w:t>
            </w:r>
            <w:r w:rsidR="006E54CB">
              <w:t>31. decembris</w:t>
            </w:r>
          </w:p>
        </w:tc>
      </w:tr>
      <w:tr w14:paraId="0B6E193D" w14:textId="77777777" w:rsidTr="00D57070">
        <w:tblPrEx>
          <w:tblW w:w="4919" w:type="pct"/>
          <w:tblInd w:w="137" w:type="dxa"/>
          <w:tblLayout w:type="fixed"/>
          <w:tblCellMar>
            <w:left w:w="103" w:type="dxa"/>
          </w:tblCellMar>
          <w:tblLook w:val="0000"/>
        </w:tblPrEx>
        <w:tc>
          <w:tcPr>
            <w:tcW w:w="1090" w:type="dxa"/>
            <w:tcBorders>
              <w:top w:val="single" w:sz="4" w:space="0" w:color="00000A"/>
              <w:left w:val="single" w:sz="4" w:space="0" w:color="00000A"/>
              <w:bottom w:val="single" w:sz="4" w:space="0" w:color="00000A"/>
            </w:tcBorders>
            <w:shd w:val="clear" w:color="auto" w:fill="auto"/>
          </w:tcPr>
          <w:p w:rsidR="00DA53EA" w:rsidP="00B91858" w14:paraId="4283CF40" w14:textId="77777777">
            <w:pPr>
              <w:suppressAutoHyphens w:val="0"/>
              <w:snapToGrid w:val="0"/>
              <w:spacing w:after="160" w:line="254" w:lineRule="auto"/>
              <w:jc w:val="center"/>
            </w:pPr>
            <w:r>
              <w:t>8.</w:t>
            </w:r>
          </w:p>
        </w:tc>
        <w:tc>
          <w:tcPr>
            <w:tcW w:w="2303" w:type="dxa"/>
            <w:tcBorders>
              <w:top w:val="single" w:sz="4" w:space="0" w:color="00000A"/>
              <w:left w:val="single" w:sz="4" w:space="0" w:color="00000A"/>
              <w:bottom w:val="single" w:sz="4" w:space="0" w:color="00000A"/>
            </w:tcBorders>
            <w:shd w:val="clear" w:color="auto" w:fill="auto"/>
          </w:tcPr>
          <w:p w:rsidR="00DA53EA" w14:paraId="55B2B0E7" w14:textId="77777777">
            <w:pPr>
              <w:ind w:left="459"/>
              <w:jc w:val="center"/>
            </w:pPr>
            <w:r>
              <w:t>8.</w:t>
            </w:r>
          </w:p>
        </w:tc>
        <w:tc>
          <w:tcPr>
            <w:tcW w:w="5383" w:type="dxa"/>
            <w:tcBorders>
              <w:top w:val="single" w:sz="4" w:space="0" w:color="00000A"/>
              <w:left w:val="single" w:sz="4" w:space="0" w:color="00000A"/>
              <w:bottom w:val="single" w:sz="4" w:space="0" w:color="00000A"/>
              <w:right w:val="single" w:sz="4" w:space="0" w:color="00000A"/>
            </w:tcBorders>
            <w:shd w:val="clear" w:color="auto" w:fill="auto"/>
          </w:tcPr>
          <w:p w:rsidR="00DA53EA" w14:paraId="433961EA" w14:textId="79BD97C5">
            <w:pPr>
              <w:jc w:val="center"/>
            </w:pPr>
            <w:r>
              <w:t>202</w:t>
            </w:r>
            <w:r w:rsidR="002A03F2">
              <w:t>3</w:t>
            </w:r>
            <w:r>
              <w:t>. gada 31. decembris</w:t>
            </w:r>
          </w:p>
        </w:tc>
      </w:tr>
      <w:tr w14:paraId="7A6718E7" w14:textId="77777777" w:rsidTr="00D57070">
        <w:tblPrEx>
          <w:tblW w:w="4919" w:type="pct"/>
          <w:tblInd w:w="137" w:type="dxa"/>
          <w:tblLayout w:type="fixed"/>
          <w:tblCellMar>
            <w:left w:w="103" w:type="dxa"/>
          </w:tblCellMar>
          <w:tblLook w:val="0000"/>
        </w:tblPrEx>
        <w:tc>
          <w:tcPr>
            <w:tcW w:w="1090" w:type="dxa"/>
            <w:tcBorders>
              <w:top w:val="single" w:sz="4" w:space="0" w:color="00000A"/>
              <w:left w:val="single" w:sz="4" w:space="0" w:color="00000A"/>
              <w:bottom w:val="single" w:sz="4" w:space="0" w:color="00000A"/>
            </w:tcBorders>
            <w:shd w:val="clear" w:color="auto" w:fill="auto"/>
          </w:tcPr>
          <w:p w:rsidR="00DA53EA" w:rsidP="00B91858" w14:paraId="19CAFABA" w14:textId="77777777">
            <w:pPr>
              <w:suppressAutoHyphens w:val="0"/>
              <w:snapToGrid w:val="0"/>
              <w:spacing w:after="160" w:line="254" w:lineRule="auto"/>
              <w:jc w:val="center"/>
            </w:pPr>
            <w:r>
              <w:t>9.</w:t>
            </w:r>
          </w:p>
        </w:tc>
        <w:tc>
          <w:tcPr>
            <w:tcW w:w="2303" w:type="dxa"/>
            <w:tcBorders>
              <w:top w:val="single" w:sz="4" w:space="0" w:color="00000A"/>
              <w:left w:val="single" w:sz="4" w:space="0" w:color="00000A"/>
              <w:bottom w:val="single" w:sz="4" w:space="0" w:color="00000A"/>
            </w:tcBorders>
            <w:shd w:val="clear" w:color="auto" w:fill="auto"/>
          </w:tcPr>
          <w:p w:rsidR="00DA53EA" w14:paraId="1B016293" w14:textId="77777777">
            <w:pPr>
              <w:ind w:left="459"/>
              <w:jc w:val="center"/>
            </w:pPr>
            <w:r>
              <w:t>9.</w:t>
            </w:r>
          </w:p>
        </w:tc>
        <w:tc>
          <w:tcPr>
            <w:tcW w:w="5383" w:type="dxa"/>
            <w:tcBorders>
              <w:top w:val="single" w:sz="4" w:space="0" w:color="00000A"/>
              <w:left w:val="single" w:sz="4" w:space="0" w:color="00000A"/>
              <w:bottom w:val="single" w:sz="4" w:space="0" w:color="00000A"/>
              <w:right w:val="single" w:sz="4" w:space="0" w:color="00000A"/>
            </w:tcBorders>
            <w:shd w:val="clear" w:color="auto" w:fill="auto"/>
          </w:tcPr>
          <w:p w:rsidR="00DA53EA" w14:paraId="1F2F734D" w14:textId="4CEB0C78">
            <w:pPr>
              <w:jc w:val="center"/>
            </w:pPr>
            <w:r>
              <w:t>202</w:t>
            </w:r>
            <w:r w:rsidR="002A03F2">
              <w:t>3</w:t>
            </w:r>
            <w:r>
              <w:t>. gada 31. decembris</w:t>
            </w:r>
          </w:p>
        </w:tc>
      </w:tr>
      <w:tr w14:paraId="10E54B37" w14:textId="77777777" w:rsidTr="00D57070">
        <w:tblPrEx>
          <w:tblW w:w="4919" w:type="pct"/>
          <w:tblInd w:w="137" w:type="dxa"/>
          <w:tblLayout w:type="fixed"/>
          <w:tblCellMar>
            <w:left w:w="103" w:type="dxa"/>
          </w:tblCellMar>
          <w:tblLook w:val="0000"/>
        </w:tblPrEx>
        <w:tc>
          <w:tcPr>
            <w:tcW w:w="1090" w:type="dxa"/>
            <w:tcBorders>
              <w:top w:val="single" w:sz="4" w:space="0" w:color="00000A"/>
              <w:left w:val="single" w:sz="4" w:space="0" w:color="00000A"/>
              <w:bottom w:val="single" w:sz="4" w:space="0" w:color="00000A"/>
            </w:tcBorders>
            <w:shd w:val="clear" w:color="auto" w:fill="auto"/>
          </w:tcPr>
          <w:p w:rsidR="00DA53EA" w:rsidP="00B91858" w14:paraId="60333E24" w14:textId="77777777">
            <w:pPr>
              <w:suppressAutoHyphens w:val="0"/>
              <w:snapToGrid w:val="0"/>
              <w:spacing w:after="160" w:line="254" w:lineRule="auto"/>
              <w:jc w:val="center"/>
            </w:pPr>
            <w:r>
              <w:t>10.</w:t>
            </w:r>
          </w:p>
        </w:tc>
        <w:tc>
          <w:tcPr>
            <w:tcW w:w="2303" w:type="dxa"/>
            <w:tcBorders>
              <w:top w:val="single" w:sz="4" w:space="0" w:color="00000A"/>
              <w:left w:val="single" w:sz="4" w:space="0" w:color="00000A"/>
              <w:bottom w:val="single" w:sz="4" w:space="0" w:color="00000A"/>
            </w:tcBorders>
            <w:shd w:val="clear" w:color="auto" w:fill="auto"/>
          </w:tcPr>
          <w:p w:rsidR="00DA53EA" w14:paraId="28E3DE65" w14:textId="77777777">
            <w:pPr>
              <w:ind w:left="459"/>
              <w:jc w:val="center"/>
            </w:pPr>
            <w:r>
              <w:t>10.</w:t>
            </w:r>
          </w:p>
        </w:tc>
        <w:tc>
          <w:tcPr>
            <w:tcW w:w="5383" w:type="dxa"/>
            <w:tcBorders>
              <w:top w:val="single" w:sz="4" w:space="0" w:color="00000A"/>
              <w:left w:val="single" w:sz="4" w:space="0" w:color="00000A"/>
              <w:bottom w:val="single" w:sz="4" w:space="0" w:color="00000A"/>
              <w:right w:val="single" w:sz="4" w:space="0" w:color="00000A"/>
            </w:tcBorders>
            <w:shd w:val="clear" w:color="auto" w:fill="auto"/>
          </w:tcPr>
          <w:p w:rsidR="00DA53EA" w14:paraId="48D79112" w14:textId="0AB6FA1B">
            <w:pPr>
              <w:jc w:val="center"/>
            </w:pPr>
            <w:r>
              <w:t>202</w:t>
            </w:r>
            <w:r w:rsidR="002A03F2">
              <w:t>3</w:t>
            </w:r>
            <w:r>
              <w:t>. gada 31. decembris</w:t>
            </w:r>
          </w:p>
        </w:tc>
      </w:tr>
      <w:tr w14:paraId="43B667B6" w14:textId="77777777" w:rsidTr="00D57070">
        <w:tblPrEx>
          <w:tblW w:w="4919" w:type="pct"/>
          <w:tblInd w:w="137" w:type="dxa"/>
          <w:tblLayout w:type="fixed"/>
          <w:tblCellMar>
            <w:left w:w="103" w:type="dxa"/>
          </w:tblCellMar>
          <w:tblLook w:val="0000"/>
        </w:tblPrEx>
        <w:tc>
          <w:tcPr>
            <w:tcW w:w="1090" w:type="dxa"/>
            <w:tcBorders>
              <w:top w:val="single" w:sz="4" w:space="0" w:color="00000A"/>
              <w:left w:val="single" w:sz="4" w:space="0" w:color="00000A"/>
              <w:bottom w:val="single" w:sz="4" w:space="0" w:color="00000A"/>
            </w:tcBorders>
            <w:shd w:val="clear" w:color="auto" w:fill="auto"/>
          </w:tcPr>
          <w:p w:rsidR="00EA6118" w:rsidP="00B91858" w14:paraId="47833121" w14:textId="77777777">
            <w:pPr>
              <w:suppressAutoHyphens w:val="0"/>
              <w:snapToGrid w:val="0"/>
              <w:spacing w:after="160" w:line="254" w:lineRule="auto"/>
              <w:jc w:val="center"/>
            </w:pPr>
            <w:r>
              <w:t>11.</w:t>
            </w:r>
          </w:p>
        </w:tc>
        <w:tc>
          <w:tcPr>
            <w:tcW w:w="2303" w:type="dxa"/>
            <w:tcBorders>
              <w:top w:val="single" w:sz="4" w:space="0" w:color="00000A"/>
              <w:left w:val="single" w:sz="4" w:space="0" w:color="00000A"/>
              <w:bottom w:val="single" w:sz="4" w:space="0" w:color="00000A"/>
            </w:tcBorders>
            <w:shd w:val="clear" w:color="auto" w:fill="auto"/>
          </w:tcPr>
          <w:p w:rsidR="00EA6118" w14:paraId="0F00A904" w14:textId="77777777">
            <w:pPr>
              <w:ind w:left="459"/>
              <w:jc w:val="center"/>
            </w:pPr>
            <w:r>
              <w:t>11.</w:t>
            </w:r>
          </w:p>
        </w:tc>
        <w:tc>
          <w:tcPr>
            <w:tcW w:w="5383" w:type="dxa"/>
            <w:tcBorders>
              <w:top w:val="single" w:sz="4" w:space="0" w:color="00000A"/>
              <w:left w:val="single" w:sz="4" w:space="0" w:color="00000A"/>
              <w:bottom w:val="single" w:sz="4" w:space="0" w:color="00000A"/>
              <w:right w:val="single" w:sz="4" w:space="0" w:color="00000A"/>
            </w:tcBorders>
            <w:shd w:val="clear" w:color="auto" w:fill="auto"/>
          </w:tcPr>
          <w:p w:rsidR="00EA6118" w:rsidRPr="00EA6118" w14:paraId="2760B2C1" w14:textId="7E1A39F3">
            <w:pPr>
              <w:jc w:val="center"/>
              <w:rPr>
                <w:b/>
              </w:rPr>
            </w:pPr>
            <w:r w:rsidRPr="00EA6118">
              <w:rPr>
                <w:rStyle w:val="Strong"/>
                <w:b w:val="0"/>
                <w:bCs w:val="0"/>
              </w:rPr>
              <w:t>202</w:t>
            </w:r>
            <w:r w:rsidR="00E64C28">
              <w:rPr>
                <w:rStyle w:val="Strong"/>
                <w:b w:val="0"/>
                <w:bCs w:val="0"/>
              </w:rPr>
              <w:t>3</w:t>
            </w:r>
            <w:r w:rsidRPr="00EA6118">
              <w:rPr>
                <w:rStyle w:val="Strong"/>
                <w:b w:val="0"/>
                <w:bCs w:val="0"/>
              </w:rPr>
              <w:t>. gada 31. decembris</w:t>
            </w:r>
          </w:p>
        </w:tc>
      </w:tr>
      <w:tr w14:paraId="4EB45650" w14:textId="77777777" w:rsidTr="00D57070">
        <w:tblPrEx>
          <w:tblW w:w="4919" w:type="pct"/>
          <w:tblInd w:w="137" w:type="dxa"/>
          <w:tblLayout w:type="fixed"/>
          <w:tblCellMar>
            <w:left w:w="103" w:type="dxa"/>
          </w:tblCellMar>
          <w:tblLook w:val="0000"/>
        </w:tblPrEx>
        <w:tc>
          <w:tcPr>
            <w:tcW w:w="1090" w:type="dxa"/>
            <w:tcBorders>
              <w:top w:val="single" w:sz="4" w:space="0" w:color="00000A"/>
              <w:left w:val="single" w:sz="4" w:space="0" w:color="00000A"/>
              <w:bottom w:val="single" w:sz="4" w:space="0" w:color="00000A"/>
            </w:tcBorders>
            <w:shd w:val="clear" w:color="auto" w:fill="auto"/>
          </w:tcPr>
          <w:p w:rsidR="006E54CB" w:rsidP="006E54CB" w14:paraId="47B5838A" w14:textId="77777777">
            <w:pPr>
              <w:suppressAutoHyphens w:val="0"/>
              <w:snapToGrid w:val="0"/>
              <w:spacing w:after="160" w:line="254" w:lineRule="auto"/>
              <w:jc w:val="center"/>
            </w:pPr>
            <w:r>
              <w:t>12.</w:t>
            </w:r>
          </w:p>
        </w:tc>
        <w:tc>
          <w:tcPr>
            <w:tcW w:w="2303" w:type="dxa"/>
            <w:tcBorders>
              <w:top w:val="single" w:sz="4" w:space="0" w:color="00000A"/>
              <w:left w:val="single" w:sz="4" w:space="0" w:color="00000A"/>
              <w:bottom w:val="single" w:sz="4" w:space="0" w:color="00000A"/>
            </w:tcBorders>
            <w:shd w:val="clear" w:color="auto" w:fill="auto"/>
          </w:tcPr>
          <w:p w:rsidR="006E54CB" w:rsidP="006E54CB" w14:paraId="1984177B" w14:textId="77777777">
            <w:pPr>
              <w:ind w:left="459"/>
              <w:jc w:val="center"/>
            </w:pPr>
            <w:r>
              <w:t>12.</w:t>
            </w:r>
          </w:p>
        </w:tc>
        <w:tc>
          <w:tcPr>
            <w:tcW w:w="5383" w:type="dxa"/>
            <w:tcBorders>
              <w:top w:val="single" w:sz="4" w:space="0" w:color="00000A"/>
              <w:left w:val="single" w:sz="4" w:space="0" w:color="00000A"/>
              <w:bottom w:val="single" w:sz="4" w:space="0" w:color="00000A"/>
              <w:right w:val="single" w:sz="4" w:space="0" w:color="00000A"/>
            </w:tcBorders>
            <w:shd w:val="clear" w:color="auto" w:fill="auto"/>
          </w:tcPr>
          <w:p w:rsidR="006E54CB" w:rsidP="006E54CB" w14:paraId="7B85950F" w14:textId="47BBDFBD">
            <w:pPr>
              <w:jc w:val="center"/>
            </w:pPr>
            <w:r w:rsidRPr="00EA6118">
              <w:rPr>
                <w:rStyle w:val="Strong"/>
                <w:b w:val="0"/>
                <w:bCs w:val="0"/>
              </w:rPr>
              <w:t>202</w:t>
            </w:r>
            <w:r>
              <w:rPr>
                <w:rStyle w:val="Strong"/>
                <w:b w:val="0"/>
                <w:bCs w:val="0"/>
              </w:rPr>
              <w:t>3</w:t>
            </w:r>
            <w:r w:rsidRPr="00EA6118">
              <w:rPr>
                <w:rStyle w:val="Strong"/>
                <w:b w:val="0"/>
                <w:bCs w:val="0"/>
              </w:rPr>
              <w:t>. gada 31. decembris</w:t>
            </w:r>
          </w:p>
        </w:tc>
      </w:tr>
      <w:tr w14:paraId="75729F51" w14:textId="77777777" w:rsidTr="00D57070">
        <w:tblPrEx>
          <w:tblW w:w="4919" w:type="pct"/>
          <w:tblInd w:w="137" w:type="dxa"/>
          <w:tblLayout w:type="fixed"/>
          <w:tblCellMar>
            <w:left w:w="103" w:type="dxa"/>
          </w:tblCellMar>
          <w:tblLook w:val="0000"/>
        </w:tblPrEx>
        <w:tc>
          <w:tcPr>
            <w:tcW w:w="1090" w:type="dxa"/>
            <w:tcBorders>
              <w:top w:val="single" w:sz="4" w:space="0" w:color="00000A"/>
              <w:left w:val="single" w:sz="4" w:space="0" w:color="00000A"/>
              <w:bottom w:val="single" w:sz="4" w:space="0" w:color="00000A"/>
            </w:tcBorders>
            <w:shd w:val="clear" w:color="auto" w:fill="auto"/>
          </w:tcPr>
          <w:p w:rsidR="006E54CB" w:rsidP="006E54CB" w14:paraId="77600A42" w14:textId="77777777">
            <w:pPr>
              <w:suppressAutoHyphens w:val="0"/>
              <w:snapToGrid w:val="0"/>
              <w:spacing w:after="160" w:line="254" w:lineRule="auto"/>
              <w:jc w:val="center"/>
            </w:pPr>
            <w:r>
              <w:t>13.</w:t>
            </w:r>
          </w:p>
        </w:tc>
        <w:tc>
          <w:tcPr>
            <w:tcW w:w="2303" w:type="dxa"/>
            <w:tcBorders>
              <w:top w:val="single" w:sz="4" w:space="0" w:color="00000A"/>
              <w:left w:val="single" w:sz="4" w:space="0" w:color="00000A"/>
              <w:bottom w:val="single" w:sz="4" w:space="0" w:color="00000A"/>
            </w:tcBorders>
            <w:shd w:val="clear" w:color="auto" w:fill="auto"/>
          </w:tcPr>
          <w:p w:rsidR="006E54CB" w:rsidP="006E54CB" w14:paraId="3A7685F4" w14:textId="77777777">
            <w:pPr>
              <w:ind w:left="459"/>
              <w:jc w:val="center"/>
            </w:pPr>
            <w:r>
              <w:t>13.</w:t>
            </w:r>
          </w:p>
        </w:tc>
        <w:tc>
          <w:tcPr>
            <w:tcW w:w="5383" w:type="dxa"/>
            <w:tcBorders>
              <w:top w:val="single" w:sz="4" w:space="0" w:color="00000A"/>
              <w:left w:val="single" w:sz="4" w:space="0" w:color="00000A"/>
              <w:bottom w:val="single" w:sz="4" w:space="0" w:color="00000A"/>
              <w:right w:val="single" w:sz="4" w:space="0" w:color="00000A"/>
            </w:tcBorders>
            <w:shd w:val="clear" w:color="auto" w:fill="auto"/>
          </w:tcPr>
          <w:p w:rsidR="006E54CB" w:rsidRPr="00C76EDA" w:rsidP="006E54CB" w14:paraId="6FFDC4C5" w14:textId="77777777">
            <w:pPr>
              <w:jc w:val="center"/>
            </w:pPr>
            <w:r w:rsidRPr="00EA6118">
              <w:rPr>
                <w:rStyle w:val="Strong"/>
                <w:b w:val="0"/>
                <w:bCs w:val="0"/>
              </w:rPr>
              <w:t>202</w:t>
            </w:r>
            <w:r>
              <w:rPr>
                <w:rStyle w:val="Strong"/>
                <w:b w:val="0"/>
                <w:bCs w:val="0"/>
              </w:rPr>
              <w:t>3</w:t>
            </w:r>
            <w:r w:rsidRPr="00EA6118">
              <w:rPr>
                <w:rStyle w:val="Strong"/>
                <w:b w:val="0"/>
                <w:bCs w:val="0"/>
              </w:rPr>
              <w:t>. gada 31. decembris</w:t>
            </w:r>
          </w:p>
        </w:tc>
      </w:tr>
      <w:tr w14:paraId="0FF24C93" w14:textId="77777777" w:rsidTr="00D57070">
        <w:tblPrEx>
          <w:tblW w:w="4919" w:type="pct"/>
          <w:tblInd w:w="137" w:type="dxa"/>
          <w:tblLayout w:type="fixed"/>
          <w:tblCellMar>
            <w:left w:w="103" w:type="dxa"/>
          </w:tblCellMar>
          <w:tblLook w:val="0000"/>
        </w:tblPrEx>
        <w:tc>
          <w:tcPr>
            <w:tcW w:w="1090" w:type="dxa"/>
            <w:tcBorders>
              <w:top w:val="single" w:sz="4" w:space="0" w:color="00000A"/>
              <w:left w:val="single" w:sz="4" w:space="0" w:color="00000A"/>
              <w:bottom w:val="single" w:sz="4" w:space="0" w:color="00000A"/>
            </w:tcBorders>
            <w:shd w:val="clear" w:color="auto" w:fill="auto"/>
          </w:tcPr>
          <w:p w:rsidR="006E54CB" w:rsidP="006E54CB" w14:paraId="4956DA0A" w14:textId="77777777">
            <w:pPr>
              <w:suppressAutoHyphens w:val="0"/>
              <w:snapToGrid w:val="0"/>
              <w:spacing w:after="160" w:line="254" w:lineRule="auto"/>
              <w:jc w:val="center"/>
            </w:pPr>
            <w:r>
              <w:t>14.</w:t>
            </w:r>
          </w:p>
        </w:tc>
        <w:tc>
          <w:tcPr>
            <w:tcW w:w="2303" w:type="dxa"/>
            <w:tcBorders>
              <w:top w:val="single" w:sz="4" w:space="0" w:color="00000A"/>
              <w:left w:val="single" w:sz="4" w:space="0" w:color="00000A"/>
              <w:bottom w:val="single" w:sz="4" w:space="0" w:color="00000A"/>
            </w:tcBorders>
            <w:shd w:val="clear" w:color="auto" w:fill="auto"/>
          </w:tcPr>
          <w:p w:rsidR="006E54CB" w:rsidP="006E54CB" w14:paraId="23F795F7" w14:textId="77777777">
            <w:pPr>
              <w:ind w:left="459"/>
              <w:jc w:val="center"/>
            </w:pPr>
            <w:r>
              <w:t>14.</w:t>
            </w:r>
          </w:p>
        </w:tc>
        <w:tc>
          <w:tcPr>
            <w:tcW w:w="5383" w:type="dxa"/>
            <w:tcBorders>
              <w:top w:val="single" w:sz="4" w:space="0" w:color="00000A"/>
              <w:left w:val="single" w:sz="4" w:space="0" w:color="00000A"/>
              <w:bottom w:val="single" w:sz="4" w:space="0" w:color="00000A"/>
              <w:right w:val="single" w:sz="4" w:space="0" w:color="00000A"/>
            </w:tcBorders>
            <w:shd w:val="clear" w:color="auto" w:fill="auto"/>
          </w:tcPr>
          <w:p w:rsidR="006E54CB" w:rsidRPr="00C76EDA" w:rsidP="006E54CB" w14:paraId="6C40E085" w14:textId="5DAA7D8E">
            <w:pPr>
              <w:jc w:val="center"/>
            </w:pPr>
            <w:r>
              <w:t xml:space="preserve">2023. gada 31. decembris </w:t>
            </w:r>
          </w:p>
        </w:tc>
      </w:tr>
      <w:tr w14:paraId="04D45CE5" w14:textId="77777777" w:rsidTr="00D57070">
        <w:tblPrEx>
          <w:tblW w:w="4919" w:type="pct"/>
          <w:tblInd w:w="137" w:type="dxa"/>
          <w:tblLayout w:type="fixed"/>
          <w:tblCellMar>
            <w:left w:w="103" w:type="dxa"/>
          </w:tblCellMar>
          <w:tblLook w:val="0000"/>
        </w:tblPrEx>
        <w:tc>
          <w:tcPr>
            <w:tcW w:w="1090" w:type="dxa"/>
            <w:tcBorders>
              <w:top w:val="single" w:sz="4" w:space="0" w:color="00000A"/>
              <w:left w:val="single" w:sz="4" w:space="0" w:color="00000A"/>
              <w:bottom w:val="single" w:sz="4" w:space="0" w:color="00000A"/>
            </w:tcBorders>
            <w:shd w:val="clear" w:color="auto" w:fill="auto"/>
          </w:tcPr>
          <w:p w:rsidR="006E54CB" w:rsidP="006E54CB" w14:paraId="5D70596D" w14:textId="77777777">
            <w:pPr>
              <w:suppressAutoHyphens w:val="0"/>
              <w:snapToGrid w:val="0"/>
              <w:spacing w:after="160" w:line="254" w:lineRule="auto"/>
              <w:jc w:val="center"/>
            </w:pPr>
            <w:r>
              <w:t>15.</w:t>
            </w:r>
          </w:p>
        </w:tc>
        <w:tc>
          <w:tcPr>
            <w:tcW w:w="2303" w:type="dxa"/>
            <w:tcBorders>
              <w:top w:val="single" w:sz="4" w:space="0" w:color="00000A"/>
              <w:left w:val="single" w:sz="4" w:space="0" w:color="00000A"/>
              <w:bottom w:val="single" w:sz="4" w:space="0" w:color="00000A"/>
            </w:tcBorders>
            <w:shd w:val="clear" w:color="auto" w:fill="auto"/>
          </w:tcPr>
          <w:p w:rsidR="006E54CB" w:rsidP="006E54CB" w14:paraId="3A238304" w14:textId="77777777">
            <w:pPr>
              <w:ind w:left="459"/>
              <w:jc w:val="center"/>
            </w:pPr>
            <w:r>
              <w:t>15.</w:t>
            </w:r>
          </w:p>
        </w:tc>
        <w:tc>
          <w:tcPr>
            <w:tcW w:w="5383" w:type="dxa"/>
            <w:tcBorders>
              <w:top w:val="single" w:sz="4" w:space="0" w:color="00000A"/>
              <w:left w:val="single" w:sz="4" w:space="0" w:color="00000A"/>
              <w:bottom w:val="single" w:sz="4" w:space="0" w:color="00000A"/>
              <w:right w:val="single" w:sz="4" w:space="0" w:color="00000A"/>
            </w:tcBorders>
            <w:shd w:val="clear" w:color="auto" w:fill="auto"/>
          </w:tcPr>
          <w:p w:rsidR="006E54CB" w:rsidRPr="00C76EDA" w:rsidP="006E54CB" w14:paraId="7F65F0D0" w14:textId="709F955D">
            <w:pPr>
              <w:jc w:val="center"/>
            </w:pPr>
            <w:r>
              <w:t>2023. gada 1.septembris</w:t>
            </w:r>
          </w:p>
        </w:tc>
      </w:tr>
      <w:tr w14:paraId="2EDA78E8" w14:textId="77777777" w:rsidTr="00D57070">
        <w:tblPrEx>
          <w:tblW w:w="4919" w:type="pct"/>
          <w:tblInd w:w="137" w:type="dxa"/>
          <w:tblLayout w:type="fixed"/>
          <w:tblCellMar>
            <w:left w:w="103" w:type="dxa"/>
          </w:tblCellMar>
          <w:tblLook w:val="0000"/>
        </w:tblPrEx>
        <w:tc>
          <w:tcPr>
            <w:tcW w:w="1090" w:type="dxa"/>
            <w:tcBorders>
              <w:top w:val="single" w:sz="4" w:space="0" w:color="00000A"/>
              <w:left w:val="single" w:sz="4" w:space="0" w:color="00000A"/>
              <w:bottom w:val="single" w:sz="4" w:space="0" w:color="00000A"/>
            </w:tcBorders>
            <w:shd w:val="clear" w:color="auto" w:fill="auto"/>
          </w:tcPr>
          <w:p w:rsidR="005A2AC0" w:rsidP="005A2AC0" w14:paraId="0BF2DE98" w14:textId="279CEF71">
            <w:pPr>
              <w:suppressAutoHyphens w:val="0"/>
              <w:snapToGrid w:val="0"/>
              <w:spacing w:after="160" w:line="254" w:lineRule="auto"/>
              <w:jc w:val="center"/>
            </w:pPr>
            <w:r>
              <w:t>16.</w:t>
            </w:r>
          </w:p>
        </w:tc>
        <w:tc>
          <w:tcPr>
            <w:tcW w:w="2303" w:type="dxa"/>
            <w:tcBorders>
              <w:top w:val="single" w:sz="4" w:space="0" w:color="00000A"/>
              <w:left w:val="single" w:sz="4" w:space="0" w:color="00000A"/>
              <w:bottom w:val="single" w:sz="4" w:space="0" w:color="00000A"/>
            </w:tcBorders>
            <w:shd w:val="clear" w:color="auto" w:fill="auto"/>
          </w:tcPr>
          <w:p w:rsidR="005A2AC0" w:rsidP="005A2AC0" w14:paraId="7F521C7F" w14:textId="42CCD555">
            <w:pPr>
              <w:ind w:left="459"/>
              <w:jc w:val="center"/>
            </w:pPr>
            <w:r>
              <w:t>16.</w:t>
            </w:r>
          </w:p>
        </w:tc>
        <w:tc>
          <w:tcPr>
            <w:tcW w:w="5383" w:type="dxa"/>
            <w:tcBorders>
              <w:top w:val="single" w:sz="4" w:space="0" w:color="00000A"/>
              <w:left w:val="single" w:sz="4" w:space="0" w:color="00000A"/>
              <w:bottom w:val="single" w:sz="4" w:space="0" w:color="00000A"/>
              <w:right w:val="single" w:sz="4" w:space="0" w:color="00000A"/>
            </w:tcBorders>
            <w:shd w:val="clear" w:color="auto" w:fill="auto"/>
          </w:tcPr>
          <w:p w:rsidR="005A2AC0" w:rsidP="005A2AC0" w14:paraId="0C1C2595" w14:textId="2BA8E53A">
            <w:pPr>
              <w:jc w:val="center"/>
            </w:pPr>
            <w:r>
              <w:t>2023. gada 31. decembris</w:t>
            </w:r>
          </w:p>
        </w:tc>
      </w:tr>
    </w:tbl>
    <w:p w:rsidR="00DA53EA" w14:paraId="37D073CB" w14:textId="77777777">
      <w:pPr>
        <w:spacing w:after="120"/>
        <w:rPr>
          <w:b/>
        </w:rPr>
      </w:pPr>
    </w:p>
    <w:tbl>
      <w:tblPr>
        <w:tblpPr w:leftFromText="180" w:rightFromText="180" w:vertAnchor="text" w:horzAnchor="margin" w:tblpY="74"/>
        <w:tblW w:w="9707" w:type="dxa"/>
        <w:tblLayout w:type="fixed"/>
        <w:tblLook w:val="0000"/>
      </w:tblPr>
      <w:tblGrid>
        <w:gridCol w:w="4854"/>
        <w:gridCol w:w="4853"/>
      </w:tblGrid>
      <w:tr w14:paraId="0C8A51DC" w14:textId="77777777" w:rsidTr="00B9190D">
        <w:tblPrEx>
          <w:tblW w:w="9707" w:type="dxa"/>
          <w:tblLayout w:type="fixed"/>
          <w:tblLook w:val="0000"/>
        </w:tblPrEx>
        <w:tc>
          <w:tcPr>
            <w:tcW w:w="4854" w:type="dxa"/>
            <w:shd w:val="clear" w:color="auto" w:fill="auto"/>
          </w:tcPr>
          <w:p w:rsidR="00B9190D" w:rsidP="00B9190D" w14:paraId="26576559" w14:textId="77777777">
            <w:pPr>
              <w:ind w:right="68"/>
              <w:jc w:val="both"/>
            </w:pPr>
            <w:r>
              <w:rPr>
                <w:b/>
                <w:kern w:val="2"/>
                <w:lang w:eastAsia="ar-SA"/>
              </w:rPr>
              <w:t>Klimata un enerģētikas ministrija</w:t>
            </w:r>
          </w:p>
          <w:p w:rsidR="00B9190D" w:rsidP="00B9190D" w14:paraId="01D7C41A" w14:textId="77777777">
            <w:pPr>
              <w:ind w:right="68"/>
              <w:jc w:val="both"/>
              <w:rPr>
                <w:b/>
                <w:kern w:val="2"/>
                <w:lang w:eastAsia="ar-SA"/>
              </w:rPr>
            </w:pPr>
          </w:p>
          <w:p w:rsidR="00B9190D" w:rsidRPr="00BC413E" w:rsidP="00B9190D" w14:paraId="4D8AD8D6" w14:textId="77777777">
            <w:pPr>
              <w:jc w:val="both"/>
              <w:rPr>
                <w:highlight w:val="yellow"/>
              </w:rPr>
            </w:pPr>
            <w:r w:rsidRPr="00E4190A">
              <w:rPr>
                <w:kern w:val="2"/>
                <w:lang w:eastAsia="ar-SA"/>
              </w:rPr>
              <w:t>vienotais reģistrācijas Nr. </w:t>
            </w:r>
            <w:r>
              <w:rPr>
                <w:kern w:val="2"/>
                <w:lang w:eastAsia="ar-SA"/>
              </w:rPr>
              <w:t xml:space="preserve"> </w:t>
            </w:r>
            <w:r>
              <w:rPr>
                <w:rStyle w:val="ui-provider"/>
              </w:rPr>
              <w:t>40900039891</w:t>
            </w:r>
          </w:p>
          <w:p w:rsidR="00B9190D" w:rsidP="00B9190D" w14:paraId="62AD56D8" w14:textId="77777777">
            <w:pPr>
              <w:spacing w:after="120"/>
              <w:jc w:val="both"/>
              <w:rPr>
                <w:rStyle w:val="ui-provider"/>
              </w:rPr>
            </w:pPr>
            <w:r>
              <w:rPr>
                <w:rStyle w:val="ui-provider"/>
              </w:rPr>
              <w:t>Maskavas iela 165, Rīga, LV-1019</w:t>
            </w:r>
          </w:p>
          <w:p w:rsidR="00B9190D" w:rsidP="00B9190D" w14:paraId="2EE989CA" w14:textId="77777777">
            <w:pPr>
              <w:jc w:val="both"/>
            </w:pPr>
            <w:r w:rsidRPr="007E2057">
              <w:t xml:space="preserve">Valsts sekretāra vietnieks klimata </w:t>
            </w:r>
          </w:p>
          <w:p w:rsidR="00B9190D" w:rsidP="00B9190D" w14:paraId="5057E4BF" w14:textId="77777777">
            <w:pPr>
              <w:jc w:val="both"/>
            </w:pPr>
            <w:r w:rsidRPr="007E2057">
              <w:t xml:space="preserve">politikas jautājumos </w:t>
            </w:r>
          </w:p>
          <w:p w:rsidR="00B9190D" w:rsidP="00B9190D" w14:paraId="56EF4F79" w14:textId="77777777">
            <w:r>
              <w:rPr>
                <w:rFonts w:cs="Arial"/>
                <w:kern w:val="2"/>
                <w:lang w:eastAsia="ar-SA"/>
              </w:rPr>
              <w:t>paraksts*</w:t>
            </w:r>
          </w:p>
          <w:p w:rsidR="00B9190D" w:rsidP="00B9190D" w14:paraId="35C8B7DD" w14:textId="77777777">
            <w:pPr>
              <w:spacing w:after="120"/>
              <w:jc w:val="both"/>
              <w:rPr>
                <w:kern w:val="2"/>
                <w:lang w:eastAsia="ar-SA"/>
              </w:rPr>
            </w:pPr>
          </w:p>
          <w:p w:rsidR="00B9190D" w:rsidP="00B9190D" w14:paraId="70426A21" w14:textId="77777777">
            <w:pPr>
              <w:jc w:val="both"/>
            </w:pPr>
            <w:r w:rsidRPr="008F287C">
              <w:rPr>
                <w:kern w:val="2"/>
                <w:lang w:eastAsia="ar-SA"/>
              </w:rPr>
              <w:t>Dagnis Dubrovskis</w:t>
            </w:r>
          </w:p>
        </w:tc>
        <w:tc>
          <w:tcPr>
            <w:tcW w:w="4853" w:type="dxa"/>
            <w:shd w:val="clear" w:color="auto" w:fill="auto"/>
          </w:tcPr>
          <w:p w:rsidR="00B9190D" w:rsidP="00B9190D" w14:paraId="3EEE73D1" w14:textId="77777777">
            <w:pPr>
              <w:pStyle w:val="Parasts1"/>
              <w:tabs>
                <w:tab w:val="left" w:pos="567"/>
              </w:tabs>
              <w:spacing w:after="0" w:line="240" w:lineRule="auto"/>
              <w:ind w:left="33"/>
            </w:pPr>
            <w:r>
              <w:rPr>
                <w:rFonts w:ascii="Times New Roman" w:eastAsia="Times New Roman" w:hAnsi="Times New Roman" w:cs="Times New Roman"/>
                <w:b/>
                <w:kern w:val="2"/>
                <w:sz w:val="24"/>
                <w:szCs w:val="24"/>
                <w:lang w:eastAsia="ar-SA"/>
              </w:rPr>
              <w:t xml:space="preserve"> Latvijas Valsts mežzinātnes institūts “Silava”</w:t>
            </w:r>
          </w:p>
          <w:p w:rsidR="00B9190D" w:rsidP="00B9190D" w14:paraId="5CDDEE45" w14:textId="77777777">
            <w:pPr>
              <w:pStyle w:val="Parasts1"/>
              <w:tabs>
                <w:tab w:val="left" w:pos="567"/>
              </w:tabs>
              <w:spacing w:after="0" w:line="240" w:lineRule="auto"/>
              <w:ind w:left="33"/>
              <w:rPr>
                <w:rFonts w:ascii="Times New Roman" w:eastAsia="Times New Roman" w:hAnsi="Times New Roman" w:cs="Times New Roman"/>
                <w:b/>
                <w:kern w:val="2"/>
                <w:sz w:val="24"/>
                <w:szCs w:val="24"/>
                <w:lang w:eastAsia="ar-SA"/>
              </w:rPr>
            </w:pPr>
          </w:p>
          <w:p w:rsidR="00B9190D" w:rsidP="00B9190D" w14:paraId="490AA2A2" w14:textId="77777777">
            <w:pPr>
              <w:jc w:val="both"/>
            </w:pPr>
            <w:r>
              <w:rPr>
                <w:kern w:val="2"/>
                <w:lang w:eastAsia="ar-SA"/>
              </w:rPr>
              <w:t>vienotais reģistrācijas Nr. </w:t>
            </w:r>
            <w:r>
              <w:t>90002121030</w:t>
            </w:r>
          </w:p>
          <w:p w:rsidR="00B9190D" w:rsidP="00B9190D" w14:paraId="380E0B53" w14:textId="77777777">
            <w:pPr>
              <w:pStyle w:val="Parasts1"/>
              <w:tabs>
                <w:tab w:val="left" w:pos="567"/>
              </w:tabs>
              <w:spacing w:after="0" w:line="240" w:lineRule="auto"/>
              <w:ind w:left="33"/>
              <w:jc w:val="both"/>
            </w:pPr>
            <w:r>
              <w:rPr>
                <w:rFonts w:ascii="Times New Roman" w:eastAsia="Times New Roman" w:hAnsi="Times New Roman" w:cs="Times New Roman"/>
                <w:sz w:val="24"/>
                <w:szCs w:val="24"/>
              </w:rPr>
              <w:t>Rīgas ielā 111, Salaspilī, LV – 2169</w:t>
            </w:r>
          </w:p>
          <w:p w:rsidR="00B9190D" w:rsidP="00B9190D" w14:paraId="0DD54D44" w14:textId="77777777">
            <w:pPr>
              <w:pStyle w:val="Parasts1"/>
              <w:tabs>
                <w:tab w:val="left" w:pos="567"/>
              </w:tabs>
              <w:spacing w:after="0" w:line="240" w:lineRule="auto"/>
              <w:ind w:left="33"/>
              <w:jc w:val="both"/>
              <w:rPr>
                <w:rFonts w:ascii="Times New Roman" w:eastAsia="Times New Roman" w:hAnsi="Times New Roman" w:cs="Times New Roman"/>
                <w:sz w:val="24"/>
                <w:szCs w:val="24"/>
              </w:rPr>
            </w:pPr>
          </w:p>
          <w:p w:rsidR="00B9190D" w:rsidP="00B9190D" w14:paraId="4B01E293" w14:textId="77777777">
            <w:pPr>
              <w:jc w:val="both"/>
            </w:pPr>
            <w:r>
              <w:t>Direktors</w:t>
            </w:r>
          </w:p>
          <w:p w:rsidR="00B9190D" w:rsidP="00B9190D" w14:paraId="225DF613" w14:textId="77777777">
            <w:r>
              <w:rPr>
                <w:rFonts w:cs="Arial"/>
                <w:kern w:val="2"/>
                <w:lang w:eastAsia="ar-SA"/>
              </w:rPr>
              <w:t>paraksts*</w:t>
            </w:r>
          </w:p>
          <w:p w:rsidR="00B9190D" w:rsidP="00B9190D" w14:paraId="09B5F41F" w14:textId="77777777">
            <w:pPr>
              <w:jc w:val="both"/>
              <w:rPr>
                <w:kern w:val="2"/>
                <w:lang w:eastAsia="ar-SA"/>
              </w:rPr>
            </w:pPr>
          </w:p>
          <w:p w:rsidR="00B9190D" w:rsidP="00B9190D" w14:paraId="24630C1A" w14:textId="77777777">
            <w:pPr>
              <w:ind w:left="33"/>
            </w:pPr>
            <w:r>
              <w:t>Jurģis Jansons</w:t>
            </w:r>
          </w:p>
          <w:p w:rsidR="00B9190D" w:rsidP="00B9190D" w14:paraId="06D3F5D3" w14:textId="77777777">
            <w:pPr>
              <w:jc w:val="both"/>
              <w:rPr>
                <w:kern w:val="2"/>
                <w:lang w:eastAsia="ar-SA"/>
              </w:rPr>
            </w:pPr>
          </w:p>
        </w:tc>
      </w:tr>
    </w:tbl>
    <w:p w:rsidR="00DA53EA" w14:paraId="7E46D51B" w14:textId="77777777">
      <w:pPr>
        <w:tabs>
          <w:tab w:val="left" w:pos="9180"/>
        </w:tabs>
      </w:pPr>
    </w:p>
    <w:p w:rsidR="00DA53EA" w:rsidRPr="00B9190D" w:rsidP="00B9190D" w14:paraId="7E6A60F2" w14:textId="77777777">
      <w:pPr>
        <w:rPr>
          <w:sz w:val="22"/>
          <w:szCs w:val="22"/>
        </w:rPr>
      </w:pPr>
      <w:r w:rsidRPr="00B9190D">
        <w:rPr>
          <w:sz w:val="22"/>
          <w:szCs w:val="22"/>
        </w:rPr>
        <w:t>*Piezīme: “Dokumenta rekvizītus “paraksts” un “datums” neaizpilda, ja elektroniskais dokuments sagatavots atbilstoši normatīvajiem aktiem par elektronisko dokumentu noformēšanu.”</w:t>
      </w:r>
    </w:p>
    <w:p w:rsidR="00DA53EA" w14:paraId="521612BB" w14:textId="77777777">
      <w:pPr>
        <w:jc w:val="center"/>
      </w:pPr>
    </w:p>
    <w:p w:rsidR="00DA53EA" w14:paraId="33D982A6" w14:textId="77777777">
      <w:pPr>
        <w:jc w:val="center"/>
      </w:pPr>
    </w:p>
    <w:p w:rsidR="00DA53EA" w:rsidP="00B9190D" w14:paraId="5AAB1B09" w14:textId="7DF44FCB">
      <w:pPr>
        <w:jc w:val="center"/>
      </w:pPr>
      <w:r>
        <w:t>ŠIS DOKUMENTS IR ELEKTRONISKI PARAKSTĪTS AR DROŠU ELEKTRONISKO PARAKSTU UN SATUR LAIKA ZĪMOGU</w:t>
      </w:r>
    </w:p>
    <w:sectPr w:rsidSect="00B9190D">
      <w:headerReference w:type="default" r:id="rId10"/>
      <w:footerReference w:type="default" r:id="rId11"/>
      <w:headerReference w:type="first" r:id="rId12"/>
      <w:footerReference w:type="first" r:id="rId13"/>
      <w:pgSz w:w="11906" w:h="16838"/>
      <w:pgMar w:top="1134" w:right="1274" w:bottom="1134" w:left="1701" w:header="720" w:footer="346"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WenQuanYi Micro Hei">
    <w:altName w:val="Times New Roman"/>
    <w:charset w:val="01"/>
    <w:family w:val="auto"/>
    <w:pitch w:val="variable"/>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Lohit Hindi">
    <w:altName w:val="Yu Gothic"/>
    <w:charset w:val="80"/>
    <w:family w:val="auto"/>
    <w:pitch w:val="variable"/>
  </w:font>
  <w:font w:name="Dutch TL">
    <w:altName w:val="Times New Roman"/>
    <w:charset w:val="BA"/>
    <w:family w:val="roman"/>
    <w:pitch w:val="variable"/>
    <w:sig w:usb0="800002AF" w:usb1="5000204A" w:usb2="00000000" w:usb3="00000000" w:csb0="0000009F" w:csb1="00000000"/>
  </w:font>
  <w:font w:name="Lucida Sans Unicode">
    <w:panose1 w:val="020B0602030504020204"/>
    <w:charset w:val="BA"/>
    <w:family w:val="swiss"/>
    <w:pitch w:val="variable"/>
    <w:sig w:usb0="80000AFF" w:usb1="0000396B" w:usb2="00000000" w:usb3="00000000" w:csb0="000000B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EU Albertina">
    <w:altName w:val="Times New Roman"/>
    <w:charset w:val="01"/>
    <w:family w:val="auto"/>
    <w:pitch w:val="default"/>
  </w:font>
  <w:font w:name="FreeSerif">
    <w:altName w:val="Times New Roman"/>
    <w:charset w:val="01"/>
    <w:family w:val="auto"/>
    <w:pitch w:val="default"/>
  </w:font>
  <w:font w:name="FreeSans">
    <w:altName w:val="Times New Roman"/>
    <w:charset w:val="00"/>
    <w:family w:val="swiss"/>
    <w:pitch w:val="variable"/>
    <w:sig w:usb0="E4838EFF" w:usb1="4200FDFF" w:usb2="000030A0" w:usb3="00000000" w:csb0="000001BF" w:csb1="00000000"/>
  </w:font>
  <w:font w:name="DejaVu Sans">
    <w:altName w:val="Arial"/>
    <w:charset w:val="BA"/>
    <w:family w:val="swiss"/>
    <w:pitch w:val="variable"/>
    <w:sig w:usb0="E7002EFF" w:usb1="D200FDFF" w:usb2="0A246029" w:usb3="00000000" w:csb0="800001FF" w:csb1="00000000"/>
  </w:font>
  <w:font w:name="Liberation Serif">
    <w:altName w:val="Times New Roman"/>
    <w:charset w:val="01"/>
    <w:family w:val="roman"/>
    <w:pitch w:val="variable"/>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453A2" w14:paraId="28919B4B" w14:textId="77777777">
    <w:pPr>
      <w:pStyle w:val="Footer"/>
      <w:jc w:val="right"/>
    </w:pPr>
    <w:r>
      <w:fldChar w:fldCharType="begin"/>
    </w:r>
    <w:r>
      <w:instrText xml:space="preserve"> PAGE </w:instrText>
    </w:r>
    <w:r>
      <w:fldChar w:fldCharType="separate"/>
    </w:r>
    <w:r>
      <w:t>5</w:t>
    </w:r>
    <w:r>
      <w:fldChar w:fldCharType="end"/>
    </w:r>
  </w:p>
  <w:p w:rsidR="00B453A2" w14:paraId="74FF41D1"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453A2" w14:paraId="192205B8" w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5A54BA" w14:paraId="1F833662" w14:textId="77777777">
      <w:r>
        <w:separator/>
      </w:r>
    </w:p>
  </w:footnote>
  <w:footnote w:type="continuationSeparator" w:id="1">
    <w:p w:rsidR="005A54BA" w14:paraId="6FDF5CA9" w14:textId="77777777">
      <w:r>
        <w:continuationSeparator/>
      </w:r>
    </w:p>
  </w:footnote>
  <w:footnote w:type="continuationNotice" w:id="2">
    <w:p w:rsidR="005A54BA" w14:paraId="0A063E66" w14:textId="77777777"/>
  </w:footnote>
  <w:footnote w:id="3">
    <w:p w:rsidR="00B453A2" w14:paraId="022EC59D" w14:textId="77777777">
      <w:pPr>
        <w:pStyle w:val="FootnoteText"/>
      </w:pPr>
      <w:r>
        <w:rPr>
          <w:rStyle w:val="FootnoteCharacters"/>
          <w:rFonts w:ascii="Liberation Serif" w:hAnsi="Liberation Serif"/>
        </w:rPr>
        <w:footnoteRef/>
      </w:r>
      <w:r>
        <w:t xml:space="preserve"> https://drive.google.com/file/d/1c_feT1sy0yKb2d5RYcu6EQa124VeLQ_8/view</w:t>
      </w:r>
    </w:p>
  </w:footnote>
  <w:footnote w:id="4">
    <w:p w:rsidR="55FC3B44" w:rsidP="55FC3B44" w14:paraId="7056F5D7" w14:textId="77777777">
      <w:pPr>
        <w:pStyle w:val="FootnoteText"/>
      </w:pPr>
      <w:r w:rsidRPr="55FC3B44">
        <w:rPr>
          <w:rStyle w:val="FootnoteReference"/>
        </w:rPr>
        <w:footnoteRef/>
      </w:r>
      <w:r>
        <w:t xml:space="preserve"> </w:t>
      </w:r>
      <w:r>
        <w:t>https://eur-lex.europa.eu/eli/reg/2018/1999/oj/?locale=LV</w:t>
      </w:r>
    </w:p>
  </w:footnote>
  <w:footnote w:id="5">
    <w:p w:rsidR="00B453A2" w14:paraId="1287C153" w14:textId="77777777">
      <w:pPr>
        <w:pStyle w:val="FootnoteText"/>
      </w:pPr>
      <w:r>
        <w:rPr>
          <w:rStyle w:val="FootnoteCharacters"/>
          <w:rFonts w:ascii="Liberation Serif" w:hAnsi="Liberation Serif"/>
        </w:rPr>
        <w:footnoteRef/>
      </w:r>
      <w:hyperlink r:id="rId1" w:history="1">
        <w:r>
          <w:rPr>
            <w:rStyle w:val="Hyperlink"/>
            <w:sz w:val="18"/>
            <w:szCs w:val="18"/>
          </w:rPr>
          <w:t>https://unfccc.int/national_reports/annex_i_ghg_inventories/reporting_requirements/items/2759.php</w:t>
        </w:r>
      </w:hyperlink>
    </w:p>
  </w:footnote>
  <w:footnote w:id="6">
    <w:p w:rsidR="004A3542" w14:paraId="2549BE7B" w14:textId="7CFA308D">
      <w:pPr>
        <w:pStyle w:val="FootnoteText"/>
      </w:pPr>
      <w:r>
        <w:rPr>
          <w:rStyle w:val="FootnoteReference"/>
        </w:rPr>
        <w:footnoteRef/>
      </w:r>
      <w:r>
        <w:t xml:space="preserve"> </w:t>
      </w:r>
      <w:hyperlink r:id="rId2" w:history="1">
        <w:r w:rsidRPr="00D43C4B">
          <w:rPr>
            <w:rStyle w:val="Hyperlink"/>
          </w:rPr>
          <w:t>https://eur-lex.europa.eu/legal-content/LV/ALL/?uri=CELEX:32020R1208</w:t>
        </w:r>
      </w:hyperlink>
    </w:p>
  </w:footnote>
  <w:footnote w:id="7">
    <w:p w:rsidR="00E936E0" w14:paraId="496F348F" w14:textId="0F3381DF">
      <w:pPr>
        <w:pStyle w:val="FootnoteText"/>
      </w:pPr>
      <w:r>
        <w:rPr>
          <w:rStyle w:val="FootnoteReference"/>
        </w:rPr>
        <w:footnoteRef/>
      </w:r>
      <w:r>
        <w:t xml:space="preserve"> </w:t>
      </w:r>
      <w:r>
        <w:t>Dalībvalstu veiktā ziņošana par aptuvenajiem siltumnīcefekta</w:t>
      </w:r>
      <w:r w:rsidR="00DA3E1F">
        <w:t xml:space="preserve"> gāzu inventarizācijas pārskatiem</w:t>
      </w:r>
      <w:r w:rsidRPr="00E936E0">
        <w:t xml:space="preserve">, </w:t>
      </w:r>
      <w:r w:rsidR="00DE3B44">
        <w:t xml:space="preserve">siltumnīcefekta gāzu inventarizācijas pārskatiem uz uzskaitītajām siltumnīcefekta </w:t>
      </w:r>
      <w:r w:rsidR="00967362">
        <w:t xml:space="preserve">gāzu </w:t>
      </w:r>
      <w:r w:rsidR="00DE3B44">
        <w:t xml:space="preserve">emisijām </w:t>
      </w:r>
      <w:r w:rsidR="00967362">
        <w:t>un piesaistītājiem</w:t>
      </w:r>
    </w:p>
  </w:footnote>
  <w:footnote w:id="8">
    <w:p w:rsidR="007F6C8D" w:rsidRPr="007F6C8D" w:rsidP="007F6C8D" w14:paraId="5A177783" w14:textId="0275521C">
      <w:pPr>
        <w:contextualSpacing/>
        <w:rPr>
          <w:sz w:val="16"/>
          <w:szCs w:val="16"/>
        </w:rPr>
      </w:pPr>
      <w:r w:rsidRPr="007F6C8D">
        <w:rPr>
          <w:rStyle w:val="FootnoteReference"/>
          <w:sz w:val="16"/>
          <w:szCs w:val="16"/>
        </w:rPr>
        <w:footnoteRef/>
      </w:r>
      <w:r w:rsidRPr="007F6C8D">
        <w:rPr>
          <w:sz w:val="16"/>
          <w:szCs w:val="16"/>
        </w:rPr>
        <w:t xml:space="preserve"> </w:t>
      </w:r>
      <w:hyperlink r:id="rId3" w:history="1">
        <w:r w:rsidRPr="007F6C8D">
          <w:rPr>
            <w:rStyle w:val="Hyperlink"/>
            <w:sz w:val="16"/>
            <w:szCs w:val="16"/>
            <w:lang w:val="en-US"/>
          </w:rPr>
          <w:t>https://unfccc.int/sites/default/files/resource/cma2018_3_add2_new_advance.pdf</w:t>
        </w:r>
      </w:hyperlink>
      <w:r w:rsidRPr="007F6C8D">
        <w:rPr>
          <w:sz w:val="16"/>
          <w:szCs w:val="16"/>
          <w:lang w:val="en-US"/>
        </w:rPr>
        <w:t xml:space="preserve"> </w:t>
      </w:r>
    </w:p>
  </w:footnote>
  <w:footnote w:id="9">
    <w:p w:rsidR="007F6C8D" w:rsidP="007F6C8D" w14:paraId="77213D30" w14:textId="19988F21">
      <w:pPr>
        <w:pStyle w:val="FootnoteText"/>
      </w:pPr>
      <w:r w:rsidRPr="007F6C8D">
        <w:rPr>
          <w:rStyle w:val="FootnoteReference"/>
          <w:sz w:val="16"/>
          <w:szCs w:val="16"/>
        </w:rPr>
        <w:footnoteRef/>
      </w:r>
      <w:r w:rsidRPr="007F6C8D">
        <w:rPr>
          <w:sz w:val="16"/>
          <w:szCs w:val="16"/>
        </w:rPr>
        <w:t xml:space="preserve"> </w:t>
      </w:r>
      <w:hyperlink r:id="rId4" w:history="1">
        <w:r w:rsidRPr="007F6C8D">
          <w:rPr>
            <w:rStyle w:val="Hyperlink"/>
            <w:sz w:val="16"/>
            <w:szCs w:val="16"/>
            <w:lang w:val="en-US"/>
          </w:rPr>
          <w:t>https://unfccc.int/sites/default/files/resource/cma3_auv_5_transparency_0.pdf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453A2" w14:paraId="3093A79F" w14:textId="77777777">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453A2" w14:paraId="5C03BF37"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1">
    <w:nsid w:val="00000001"/>
    <w:multiLevelType w:val="multilevel"/>
    <w:tmpl w:val="00000001"/>
    <w:lvl w:ilvl="0">
      <w:start w:val="1"/>
      <w:numFmt w:val="none"/>
      <w:suff w:val="nothing"/>
      <w:lvlJc w:val="left"/>
      <w:pPr>
        <w:tabs>
          <w:tab w:val="num" w:pos="0"/>
        </w:tabs>
        <w:ind w:left="0" w:firstLine="0"/>
      </w:pPr>
    </w:lvl>
    <w:lvl w:ilvl="1">
      <w:start w:val="1"/>
      <w:numFmt w:val="none"/>
      <w:pStyle w:val="Heading2"/>
      <w:suff w:val="nothing"/>
      <w:lvlJc w:val="left"/>
      <w:pPr>
        <w:tabs>
          <w:tab w:val="num" w:pos="0"/>
        </w:tabs>
        <w:ind w:left="576" w:hanging="576"/>
      </w:pPr>
    </w:lvl>
    <w:lvl w:ilvl="2">
      <w:start w:val="1"/>
      <w:numFmt w:val="none"/>
      <w:pStyle w:val="Heading3"/>
      <w:suff w:val="nothing"/>
      <w:lvlJc w:val="left"/>
      <w:pPr>
        <w:tabs>
          <w:tab w:val="num" w:pos="0"/>
        </w:tabs>
        <w:ind w:left="720" w:hanging="720"/>
      </w:pPr>
    </w:lvl>
    <w:lvl w:ilvl="3">
      <w:start w:val="1"/>
      <w:numFmt w:val="none"/>
      <w:pStyle w:val="Heading4"/>
      <w:suff w:val="nothing"/>
      <w:lvlJc w:val="left"/>
      <w:pPr>
        <w:tabs>
          <w:tab w:val="num" w:pos="0"/>
        </w:tabs>
        <w:ind w:left="864" w:hanging="864"/>
      </w:pPr>
    </w:lvl>
    <w:lvl w:ilvl="4">
      <w:start w:val="1"/>
      <w:numFmt w:val="none"/>
      <w:suff w:val="nothing"/>
      <w:lvlJc w:val="left"/>
      <w:pPr>
        <w:tabs>
          <w:tab w:val="num" w:pos="0"/>
        </w:tabs>
        <w:ind w:left="0" w:firstLine="0"/>
      </w:pPr>
    </w:lvl>
    <w:lvl w:ilvl="5">
      <w:start w:val="1"/>
      <w:numFmt w:val="none"/>
      <w:suff w:val="nothing"/>
      <w:lvlJc w:val="left"/>
      <w:pPr>
        <w:tabs>
          <w:tab w:val="num" w:pos="0"/>
        </w:tabs>
        <w:ind w:left="0" w:firstLine="0"/>
      </w:pPr>
    </w:lvl>
    <w:lvl w:ilvl="6">
      <w:start w:val="1"/>
      <w:numFmt w:val="none"/>
      <w:suff w:val="nothing"/>
      <w:lvlJc w:val="left"/>
      <w:pPr>
        <w:tabs>
          <w:tab w:val="num" w:pos="0"/>
        </w:tabs>
        <w:ind w:left="0" w:firstLine="0"/>
      </w:pPr>
    </w:lvl>
    <w:lvl w:ilvl="7">
      <w:start w:val="1"/>
      <w:numFmt w:val="none"/>
      <w:suff w:val="nothing"/>
      <w:lvlJc w:val="left"/>
      <w:pPr>
        <w:tabs>
          <w:tab w:val="num" w:pos="0"/>
        </w:tabs>
        <w:ind w:left="0" w:firstLine="0"/>
      </w:pPr>
    </w:lvl>
    <w:lvl w:ilvl="8">
      <w:start w:val="1"/>
      <w:numFmt w:val="none"/>
      <w:suff w:val="nothing"/>
      <w:lvlJc w:val="left"/>
      <w:pPr>
        <w:tabs>
          <w:tab w:val="num" w:pos="0"/>
        </w:tabs>
        <w:ind w:left="0" w:firstLine="0"/>
      </w:pPr>
    </w:lvl>
  </w:abstractNum>
  <w:abstractNum w:abstractNumId="1">
    <w:nsid w:val="00000002"/>
    <w:multiLevelType w:val="multilevel"/>
    <w:tmpl w:val="00000002"/>
    <w:lvl w:ilvl="0">
      <w:start w:val="1"/>
      <w:numFmt w:val="decimal"/>
      <w:lvlText w:val="%1."/>
      <w:lvlJc w:val="left"/>
      <w:pPr>
        <w:tabs>
          <w:tab w:val="num" w:pos="0"/>
        </w:tabs>
        <w:ind w:left="360" w:hanging="360"/>
      </w:pPr>
      <w:rPr>
        <w:rFonts w:hint="default"/>
        <w:szCs w:val="24"/>
        <w:lang w:val="lv-LV"/>
      </w:rPr>
    </w:lvl>
    <w:lvl w:ilvl="1">
      <w:start w:val="1"/>
      <w:numFmt w:val="decimal"/>
      <w:lvlText w:val="%1.%2."/>
      <w:lvlJc w:val="left"/>
      <w:pPr>
        <w:tabs>
          <w:tab w:val="num" w:pos="0"/>
        </w:tabs>
        <w:ind w:left="927" w:hanging="360"/>
      </w:pPr>
      <w:rPr>
        <w:rFonts w:hint="default"/>
        <w:szCs w:val="24"/>
        <w:lang w:val="lv-LV"/>
      </w:rPr>
    </w:lvl>
    <w:lvl w:ilvl="2">
      <w:start w:val="1"/>
      <w:numFmt w:val="decimal"/>
      <w:lvlText w:val="%1.%2.%3."/>
      <w:lvlJc w:val="left"/>
      <w:pPr>
        <w:tabs>
          <w:tab w:val="num" w:pos="0"/>
        </w:tabs>
        <w:ind w:left="1680" w:hanging="720"/>
      </w:pPr>
      <w:rPr>
        <w:rFonts w:hint="default"/>
        <w:szCs w:val="24"/>
        <w:lang w:val="lv-LV"/>
      </w:rPr>
    </w:lvl>
    <w:lvl w:ilvl="3">
      <w:start w:val="1"/>
      <w:numFmt w:val="decimal"/>
      <w:lvlText w:val="%1.%2.%3.%4."/>
      <w:lvlJc w:val="left"/>
      <w:pPr>
        <w:tabs>
          <w:tab w:val="num" w:pos="0"/>
        </w:tabs>
        <w:ind w:left="2160" w:hanging="720"/>
      </w:pPr>
      <w:rPr>
        <w:rFonts w:hint="default"/>
        <w:szCs w:val="24"/>
        <w:lang w:val="lv-LV"/>
      </w:rPr>
    </w:lvl>
    <w:lvl w:ilvl="4">
      <w:start w:val="1"/>
      <w:numFmt w:val="decimal"/>
      <w:lvlText w:val="%1.%2.%3.%4.%5."/>
      <w:lvlJc w:val="left"/>
      <w:pPr>
        <w:tabs>
          <w:tab w:val="num" w:pos="0"/>
        </w:tabs>
        <w:ind w:left="3000" w:hanging="1080"/>
      </w:pPr>
      <w:rPr>
        <w:rFonts w:hint="default"/>
        <w:szCs w:val="24"/>
        <w:lang w:val="lv-LV"/>
      </w:rPr>
    </w:lvl>
    <w:lvl w:ilvl="5">
      <w:start w:val="1"/>
      <w:numFmt w:val="decimal"/>
      <w:lvlText w:val="%1.%2.%3.%4.%5.%6."/>
      <w:lvlJc w:val="left"/>
      <w:pPr>
        <w:tabs>
          <w:tab w:val="num" w:pos="0"/>
        </w:tabs>
        <w:ind w:left="3480" w:hanging="1080"/>
      </w:pPr>
      <w:rPr>
        <w:rFonts w:hint="default"/>
        <w:szCs w:val="24"/>
        <w:lang w:val="lv-LV"/>
      </w:rPr>
    </w:lvl>
    <w:lvl w:ilvl="6">
      <w:start w:val="1"/>
      <w:numFmt w:val="decimal"/>
      <w:lvlText w:val="%1.%2.%3.%4.%5.%6.%7."/>
      <w:lvlJc w:val="left"/>
      <w:pPr>
        <w:tabs>
          <w:tab w:val="num" w:pos="0"/>
        </w:tabs>
        <w:ind w:left="4320" w:hanging="1440"/>
      </w:pPr>
      <w:rPr>
        <w:rFonts w:hint="default"/>
        <w:szCs w:val="24"/>
        <w:lang w:val="lv-LV"/>
      </w:rPr>
    </w:lvl>
    <w:lvl w:ilvl="7">
      <w:start w:val="1"/>
      <w:numFmt w:val="decimal"/>
      <w:lvlText w:val="%1.%2.%3.%4.%5.%6.%7.%8."/>
      <w:lvlJc w:val="left"/>
      <w:pPr>
        <w:tabs>
          <w:tab w:val="num" w:pos="0"/>
        </w:tabs>
        <w:ind w:left="4800" w:hanging="1440"/>
      </w:pPr>
      <w:rPr>
        <w:rFonts w:hint="default"/>
        <w:szCs w:val="24"/>
        <w:lang w:val="lv-LV"/>
      </w:rPr>
    </w:lvl>
    <w:lvl w:ilvl="8">
      <w:start w:val="1"/>
      <w:numFmt w:val="decimal"/>
      <w:lvlText w:val="%1.%2.%3.%4.%5.%6.%7.%8.%9."/>
      <w:lvlJc w:val="left"/>
      <w:pPr>
        <w:tabs>
          <w:tab w:val="num" w:pos="0"/>
        </w:tabs>
        <w:ind w:left="5640" w:hanging="1800"/>
      </w:pPr>
      <w:rPr>
        <w:rFonts w:hint="default"/>
        <w:szCs w:val="24"/>
        <w:lang w:val="lv-LV"/>
      </w:rPr>
    </w:lvl>
  </w:abstractNum>
  <w:abstractNum w:abstractNumId="2" w15:restartNumberingAfterBreak="1">
    <w:nsid w:val="00000003"/>
    <w:multiLevelType w:val="multilevel"/>
    <w:tmpl w:val="07243C32"/>
    <w:name w:val="WW8Num3"/>
    <w:lvl w:ilvl="0">
      <w:start w:val="1"/>
      <w:numFmt w:val="decimal"/>
      <w:lvlText w:val="%1."/>
      <w:lvlJc w:val="left"/>
      <w:pPr>
        <w:tabs>
          <w:tab w:val="num" w:pos="-76"/>
        </w:tabs>
        <w:ind w:left="644" w:hanging="360"/>
      </w:pPr>
      <w:rPr>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195807F0"/>
    <w:multiLevelType w:val="hybridMultilevel"/>
    <w:tmpl w:val="7DF803F8"/>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3BEC10E8"/>
    <w:multiLevelType w:val="multilevel"/>
    <w:tmpl w:val="FA88CF64"/>
    <w:lvl w:ilvl="0">
      <w:start w:val="1"/>
      <w:numFmt w:val="decimal"/>
      <w:lvlText w:val="%1."/>
      <w:lvlJc w:val="left"/>
      <w:pPr>
        <w:ind w:left="360" w:hanging="360"/>
      </w:pPr>
      <w:rPr>
        <w:strike w:val="0"/>
      </w:rPr>
    </w:lvl>
    <w:lvl w:ilvl="1">
      <w:start w:val="1"/>
      <w:numFmt w:val="decimal"/>
      <w:lvlText w:val="%1.%2."/>
      <w:lvlJc w:val="left"/>
      <w:pPr>
        <w:ind w:left="927" w:hanging="360"/>
      </w:pPr>
      <w:rPr>
        <w:rFonts w:ascii="Times New Roman" w:hAnsi="Times New Roman" w:cs="Times New Roman" w:hint="default"/>
      </w:rPr>
    </w:lvl>
    <w:lvl w:ilvl="2">
      <w:start w:val="1"/>
      <w:numFmt w:val="decimal"/>
      <w:lvlText w:val="%1.%2.%3."/>
      <w:lvlJc w:val="left"/>
      <w:pPr>
        <w:ind w:left="2610" w:hanging="720"/>
      </w:pPr>
      <w:rPr>
        <w:rFonts w:hint="default"/>
      </w:rPr>
    </w:lvl>
    <w:lvl w:ilvl="3">
      <w:start w:val="1"/>
      <w:numFmt w:val="decimal"/>
      <w:lvlText w:val="%1.%2.%3.%4."/>
      <w:lvlJc w:val="left"/>
      <w:pPr>
        <w:ind w:left="3555" w:hanging="72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5805" w:hanging="1080"/>
      </w:pPr>
      <w:rPr>
        <w:rFonts w:hint="default"/>
      </w:rPr>
    </w:lvl>
    <w:lvl w:ilvl="6">
      <w:start w:val="1"/>
      <w:numFmt w:val="decimal"/>
      <w:lvlText w:val="%1.%2.%3.%4.%5.%6.%7."/>
      <w:lvlJc w:val="left"/>
      <w:pPr>
        <w:ind w:left="7110" w:hanging="1440"/>
      </w:pPr>
      <w:rPr>
        <w:rFonts w:hint="default"/>
      </w:rPr>
    </w:lvl>
    <w:lvl w:ilvl="7">
      <w:start w:val="1"/>
      <w:numFmt w:val="decimal"/>
      <w:lvlText w:val="%1.%2.%3.%4.%5.%6.%7.%8."/>
      <w:lvlJc w:val="left"/>
      <w:pPr>
        <w:ind w:left="8055" w:hanging="1440"/>
      </w:pPr>
      <w:rPr>
        <w:rFonts w:hint="default"/>
      </w:rPr>
    </w:lvl>
    <w:lvl w:ilvl="8">
      <w:start w:val="1"/>
      <w:numFmt w:val="decimal"/>
      <w:lvlText w:val="%1.%2.%3.%4.%5.%6.%7.%8.%9."/>
      <w:lvlJc w:val="left"/>
      <w:pPr>
        <w:ind w:left="9360" w:hanging="1800"/>
      </w:pPr>
      <w:rPr>
        <w:rFonts w:hint="default"/>
      </w:rPr>
    </w:lvl>
  </w:abstractNum>
  <w:abstractNum w:abstractNumId="5">
    <w:nsid w:val="40B4B189"/>
    <w:multiLevelType w:val="hybridMultilevel"/>
    <w:tmpl w:val="3C9CA6C0"/>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5"/>
  </w:num>
  <w:num w:numId="3">
    <w:abstractNumId w:val="0"/>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grammar="clean"/>
  <w:stylePaneFormatFilter w:val="0000" w:allStyles="0" w:alternateStyleNames="0" w:clearFormatting="0" w:customStyles="0" w:directFormattingOnNumbering="0" w:directFormattingOnParagraphs="0" w:directFormattingOnRuns="0" w:directFormattingOnTables="0" w:headingStyles="0" w:latentStyles="0" w:numberingStyles="0" w:stylesInUse="0" w:tableStyles="0" w:top3HeadingStyles="0" w:visibleStyl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EmbedSmartTags/>
  <w:footnotePr>
    <w:footnote w:id="0"/>
    <w:footnote w:id="1"/>
    <w:footnote w:id="2"/>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F15"/>
    <w:rsid w:val="00003AA6"/>
    <w:rsid w:val="000455E4"/>
    <w:rsid w:val="00071624"/>
    <w:rsid w:val="00075A16"/>
    <w:rsid w:val="000A29A3"/>
    <w:rsid w:val="000D7F56"/>
    <w:rsid w:val="000E079D"/>
    <w:rsid w:val="000E29C6"/>
    <w:rsid w:val="000E3755"/>
    <w:rsid w:val="000E48AC"/>
    <w:rsid w:val="000E5CEF"/>
    <w:rsid w:val="00111007"/>
    <w:rsid w:val="00126F15"/>
    <w:rsid w:val="00131D96"/>
    <w:rsid w:val="00133693"/>
    <w:rsid w:val="001612C2"/>
    <w:rsid w:val="00196F99"/>
    <w:rsid w:val="001A1E0E"/>
    <w:rsid w:val="001B4838"/>
    <w:rsid w:val="001D2212"/>
    <w:rsid w:val="0021476A"/>
    <w:rsid w:val="00220F23"/>
    <w:rsid w:val="0022527E"/>
    <w:rsid w:val="00236FBF"/>
    <w:rsid w:val="00264607"/>
    <w:rsid w:val="00271F09"/>
    <w:rsid w:val="00295151"/>
    <w:rsid w:val="002A03F2"/>
    <w:rsid w:val="002A21CE"/>
    <w:rsid w:val="002B16D7"/>
    <w:rsid w:val="002C051A"/>
    <w:rsid w:val="002C441F"/>
    <w:rsid w:val="002D3316"/>
    <w:rsid w:val="003106BE"/>
    <w:rsid w:val="003603E2"/>
    <w:rsid w:val="003904EA"/>
    <w:rsid w:val="00390DC1"/>
    <w:rsid w:val="003B4F9B"/>
    <w:rsid w:val="003C2B3A"/>
    <w:rsid w:val="003D3E4D"/>
    <w:rsid w:val="003E0C25"/>
    <w:rsid w:val="003E585F"/>
    <w:rsid w:val="00404BF3"/>
    <w:rsid w:val="0041213D"/>
    <w:rsid w:val="004245F8"/>
    <w:rsid w:val="00435229"/>
    <w:rsid w:val="004479E2"/>
    <w:rsid w:val="00471059"/>
    <w:rsid w:val="00495B33"/>
    <w:rsid w:val="004A3542"/>
    <w:rsid w:val="00517BB6"/>
    <w:rsid w:val="005200F4"/>
    <w:rsid w:val="00520282"/>
    <w:rsid w:val="00526CF7"/>
    <w:rsid w:val="00551A39"/>
    <w:rsid w:val="00564599"/>
    <w:rsid w:val="0056663A"/>
    <w:rsid w:val="005753FB"/>
    <w:rsid w:val="00581D72"/>
    <w:rsid w:val="00595FB2"/>
    <w:rsid w:val="005A2AC0"/>
    <w:rsid w:val="005A54BA"/>
    <w:rsid w:val="005A5A09"/>
    <w:rsid w:val="005A7D36"/>
    <w:rsid w:val="005D24E8"/>
    <w:rsid w:val="005E4FFD"/>
    <w:rsid w:val="005F4DF8"/>
    <w:rsid w:val="00631749"/>
    <w:rsid w:val="00642CA2"/>
    <w:rsid w:val="006438B5"/>
    <w:rsid w:val="00654224"/>
    <w:rsid w:val="00691870"/>
    <w:rsid w:val="006A345D"/>
    <w:rsid w:val="006A519D"/>
    <w:rsid w:val="006C2868"/>
    <w:rsid w:val="006D544E"/>
    <w:rsid w:val="006E54CB"/>
    <w:rsid w:val="00731021"/>
    <w:rsid w:val="0074673C"/>
    <w:rsid w:val="00757B20"/>
    <w:rsid w:val="00772C95"/>
    <w:rsid w:val="007744A8"/>
    <w:rsid w:val="0078342D"/>
    <w:rsid w:val="0079035B"/>
    <w:rsid w:val="007952D2"/>
    <w:rsid w:val="007E2057"/>
    <w:rsid w:val="007F6C8D"/>
    <w:rsid w:val="008005DA"/>
    <w:rsid w:val="00805733"/>
    <w:rsid w:val="00806F31"/>
    <w:rsid w:val="00821600"/>
    <w:rsid w:val="00873F51"/>
    <w:rsid w:val="008879A3"/>
    <w:rsid w:val="008A28FD"/>
    <w:rsid w:val="008B0A7C"/>
    <w:rsid w:val="008B7942"/>
    <w:rsid w:val="008C0841"/>
    <w:rsid w:val="008D483F"/>
    <w:rsid w:val="008F287C"/>
    <w:rsid w:val="00911599"/>
    <w:rsid w:val="009264BA"/>
    <w:rsid w:val="009461EC"/>
    <w:rsid w:val="0094678C"/>
    <w:rsid w:val="0095433F"/>
    <w:rsid w:val="0095705D"/>
    <w:rsid w:val="00965754"/>
    <w:rsid w:val="00967362"/>
    <w:rsid w:val="00982DDC"/>
    <w:rsid w:val="009D5302"/>
    <w:rsid w:val="009E59CC"/>
    <w:rsid w:val="00A0063F"/>
    <w:rsid w:val="00A04DF3"/>
    <w:rsid w:val="00A42718"/>
    <w:rsid w:val="00A7797B"/>
    <w:rsid w:val="00A80490"/>
    <w:rsid w:val="00A93A4B"/>
    <w:rsid w:val="00A93E2D"/>
    <w:rsid w:val="00AB453F"/>
    <w:rsid w:val="00AC33F7"/>
    <w:rsid w:val="00AC407E"/>
    <w:rsid w:val="00B1287D"/>
    <w:rsid w:val="00B15A88"/>
    <w:rsid w:val="00B453A2"/>
    <w:rsid w:val="00B53325"/>
    <w:rsid w:val="00B62B10"/>
    <w:rsid w:val="00B91858"/>
    <w:rsid w:val="00B9190D"/>
    <w:rsid w:val="00BB6D62"/>
    <w:rsid w:val="00BC413E"/>
    <w:rsid w:val="00BE4516"/>
    <w:rsid w:val="00BF5E1B"/>
    <w:rsid w:val="00C11CC7"/>
    <w:rsid w:val="00C24A5D"/>
    <w:rsid w:val="00C76EDA"/>
    <w:rsid w:val="00C87F50"/>
    <w:rsid w:val="00CA582E"/>
    <w:rsid w:val="00CD002E"/>
    <w:rsid w:val="00D1118F"/>
    <w:rsid w:val="00D32B5B"/>
    <w:rsid w:val="00D43C4B"/>
    <w:rsid w:val="00D47CFD"/>
    <w:rsid w:val="00D57070"/>
    <w:rsid w:val="00D82E64"/>
    <w:rsid w:val="00D916B0"/>
    <w:rsid w:val="00D93A2D"/>
    <w:rsid w:val="00D95AB8"/>
    <w:rsid w:val="00DA16AF"/>
    <w:rsid w:val="00DA3E1F"/>
    <w:rsid w:val="00DA53EA"/>
    <w:rsid w:val="00DD48E1"/>
    <w:rsid w:val="00DE0EAD"/>
    <w:rsid w:val="00DE3384"/>
    <w:rsid w:val="00DE3B44"/>
    <w:rsid w:val="00DE750E"/>
    <w:rsid w:val="00E0072C"/>
    <w:rsid w:val="00E14B0C"/>
    <w:rsid w:val="00E4190A"/>
    <w:rsid w:val="00E46A42"/>
    <w:rsid w:val="00E64C28"/>
    <w:rsid w:val="00E6602A"/>
    <w:rsid w:val="00E73C7F"/>
    <w:rsid w:val="00E778FB"/>
    <w:rsid w:val="00E9322C"/>
    <w:rsid w:val="00E936E0"/>
    <w:rsid w:val="00EA6118"/>
    <w:rsid w:val="00EC658D"/>
    <w:rsid w:val="00F01F7B"/>
    <w:rsid w:val="00F131C8"/>
    <w:rsid w:val="00F3159C"/>
    <w:rsid w:val="00F31A6D"/>
    <w:rsid w:val="00F44582"/>
    <w:rsid w:val="00F50406"/>
    <w:rsid w:val="00F5415A"/>
    <w:rsid w:val="00F62FA3"/>
    <w:rsid w:val="00F77313"/>
    <w:rsid w:val="00F87B36"/>
    <w:rsid w:val="00F9120D"/>
    <w:rsid w:val="00FD241B"/>
    <w:rsid w:val="00FE0703"/>
    <w:rsid w:val="00FF1559"/>
    <w:rsid w:val="00FF4890"/>
    <w:rsid w:val="0164FE67"/>
    <w:rsid w:val="0272163C"/>
    <w:rsid w:val="04B2F4C6"/>
    <w:rsid w:val="0548A34F"/>
    <w:rsid w:val="06DE6753"/>
    <w:rsid w:val="07F0726B"/>
    <w:rsid w:val="09B45D0A"/>
    <w:rsid w:val="0AF4D317"/>
    <w:rsid w:val="0C98FC57"/>
    <w:rsid w:val="0F90DDC2"/>
    <w:rsid w:val="0FDD3C2B"/>
    <w:rsid w:val="108B5B8B"/>
    <w:rsid w:val="11BFE319"/>
    <w:rsid w:val="1531D8A9"/>
    <w:rsid w:val="1623D7AC"/>
    <w:rsid w:val="197636FB"/>
    <w:rsid w:val="1C180D97"/>
    <w:rsid w:val="1F8418A9"/>
    <w:rsid w:val="20EF4244"/>
    <w:rsid w:val="228C5ED2"/>
    <w:rsid w:val="230392DB"/>
    <w:rsid w:val="253C8EC7"/>
    <w:rsid w:val="259486F5"/>
    <w:rsid w:val="25E9AB0F"/>
    <w:rsid w:val="266A8EFF"/>
    <w:rsid w:val="267B3608"/>
    <w:rsid w:val="26D3B2B5"/>
    <w:rsid w:val="27D703FE"/>
    <w:rsid w:val="28065F60"/>
    <w:rsid w:val="2B51B003"/>
    <w:rsid w:val="2B8D625A"/>
    <w:rsid w:val="2C53725B"/>
    <w:rsid w:val="37559735"/>
    <w:rsid w:val="37594730"/>
    <w:rsid w:val="38525C4C"/>
    <w:rsid w:val="390B5242"/>
    <w:rsid w:val="3AA7B26F"/>
    <w:rsid w:val="3C91636D"/>
    <w:rsid w:val="3D038E48"/>
    <w:rsid w:val="3EE59547"/>
    <w:rsid w:val="41373573"/>
    <w:rsid w:val="42168F40"/>
    <w:rsid w:val="424E0A1B"/>
    <w:rsid w:val="43D7CD22"/>
    <w:rsid w:val="44531902"/>
    <w:rsid w:val="45A25CD0"/>
    <w:rsid w:val="4618C459"/>
    <w:rsid w:val="49112FA8"/>
    <w:rsid w:val="496DBB71"/>
    <w:rsid w:val="49C4A9BE"/>
    <w:rsid w:val="4A5A3AD0"/>
    <w:rsid w:val="4CBA1C9E"/>
    <w:rsid w:val="4DA67568"/>
    <w:rsid w:val="4E3967DB"/>
    <w:rsid w:val="4F635AB1"/>
    <w:rsid w:val="519C8E38"/>
    <w:rsid w:val="55FC3B44"/>
    <w:rsid w:val="572D90C2"/>
    <w:rsid w:val="59AC17BB"/>
    <w:rsid w:val="5B27128C"/>
    <w:rsid w:val="5B2CDF03"/>
    <w:rsid w:val="5CA43A30"/>
    <w:rsid w:val="5FF5CAF7"/>
    <w:rsid w:val="600A5303"/>
    <w:rsid w:val="643C540C"/>
    <w:rsid w:val="64D530BB"/>
    <w:rsid w:val="6500A669"/>
    <w:rsid w:val="66D4F8B2"/>
    <w:rsid w:val="68500E38"/>
    <w:rsid w:val="6B888639"/>
    <w:rsid w:val="6B9BA7E4"/>
    <w:rsid w:val="6D738DE6"/>
    <w:rsid w:val="6DC5C66D"/>
    <w:rsid w:val="6F19E238"/>
    <w:rsid w:val="72060E37"/>
    <w:rsid w:val="72D8353D"/>
    <w:rsid w:val="736BB7AA"/>
    <w:rsid w:val="7533F181"/>
    <w:rsid w:val="75BEB332"/>
    <w:rsid w:val="75D506AF"/>
    <w:rsid w:val="75DDAFAC"/>
    <w:rsid w:val="75EA71C9"/>
    <w:rsid w:val="775A8393"/>
    <w:rsid w:val="784DE0E4"/>
    <w:rsid w:val="7A51FCE8"/>
    <w:rsid w:val="7AD5B620"/>
    <w:rsid w:val="7D20AD99"/>
  </w:rsids>
  <m:mathPr>
    <m:mathFont m:val="Cambria Math"/>
  </m:mathPr>
  <w:themeFontLang w:val="en-US" w:eastAsia="ja-JP" w:bidi="ar-SA"/>
  <w:clrSchemeMapping w:bg1="light1" w:t1="dark1" w:bg2="light2" w:t2="dark2" w:accent1="accent1" w:accent2="accent2" w:accent3="accent3" w:accent4="accent4" w:accent5="accent5" w:accent6="accent6" w:hyperlink="hyperlink" w:followedHyperlink="followedHyperlink"/>
  <w:doNotEmbedSmartTags/>
  <w14:docId w14:val="3167BC18"/>
  <w15:chartTrackingRefBased/>
  <w15:docId w15:val="{A82251B6-1157-4B60-9683-C46A7CAD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val="lv-LV" w:eastAsia="zh-CN"/>
    </w:rPr>
  </w:style>
  <w:style w:type="paragraph" w:styleId="Heading1">
    <w:name w:val="heading 1"/>
    <w:basedOn w:val="Normal"/>
    <w:next w:val="Normal"/>
    <w:qFormat/>
    <w:pPr>
      <w:keepNext/>
      <w:spacing w:before="240" w:after="60"/>
      <w:outlineLvl w:val="0"/>
    </w:pPr>
    <w:rPr>
      <w:rFonts w:ascii="Cambria" w:hAnsi="Cambria"/>
      <w:b/>
      <w:bCs/>
      <w:kern w:val="2"/>
      <w:sz w:val="32"/>
      <w:szCs w:val="32"/>
    </w:rPr>
  </w:style>
  <w:style w:type="paragraph" w:styleId="Heading2">
    <w:name w:val="heading 2"/>
    <w:basedOn w:val="Heading"/>
    <w:next w:val="BodyText"/>
    <w:qFormat/>
    <w:pPr>
      <w:numPr>
        <w:ilvl w:val="1"/>
        <w:numId w:val="3"/>
      </w:numPr>
      <w:spacing w:before="200"/>
      <w:outlineLvl w:val="1"/>
    </w:pPr>
    <w:rPr>
      <w:rFonts w:cs="Times New Roman"/>
      <w:b/>
      <w:bCs/>
      <w:sz w:val="32"/>
      <w:szCs w:val="32"/>
      <w:lang w:val="x-none"/>
    </w:rPr>
  </w:style>
  <w:style w:type="paragraph" w:styleId="Heading3">
    <w:name w:val="heading 3"/>
    <w:basedOn w:val="Heading"/>
    <w:next w:val="BodyText"/>
    <w:qFormat/>
    <w:pPr>
      <w:numPr>
        <w:ilvl w:val="2"/>
        <w:numId w:val="3"/>
      </w:numPr>
      <w:spacing w:before="140"/>
      <w:outlineLvl w:val="2"/>
    </w:pPr>
    <w:rPr>
      <w:rFonts w:cs="Times New Roman"/>
      <w:b/>
      <w:bCs/>
      <w:lang w:val="x-none"/>
    </w:rPr>
  </w:style>
  <w:style w:type="paragraph" w:styleId="Heading4">
    <w:name w:val="heading 4"/>
    <w:basedOn w:val="Normal"/>
    <w:next w:val="Normal"/>
    <w:qFormat/>
    <w:pPr>
      <w:keepNext/>
      <w:numPr>
        <w:ilvl w:val="3"/>
        <w:numId w:val="3"/>
      </w:numPr>
      <w:jc w:val="center"/>
      <w:outlineLvl w:val="3"/>
    </w:pPr>
    <w:rPr>
      <w:rFonts w:eastAsia="Calibri"/>
      <w:color w:val="000000"/>
      <w:sz w:val="28"/>
      <w:szCs w:val="20"/>
    </w:rPr>
  </w:style>
  <w:style w:type="paragraph" w:styleId="Heading5">
    <w:name w:val="heading 5"/>
    <w:basedOn w:val="Normal"/>
    <w:next w:val="Normal"/>
    <w:qFormat/>
    <w:pPr>
      <w:suppressAutoHyphens w:val="0"/>
      <w:spacing w:before="240" w:after="60"/>
      <w:outlineLvl w:val="4"/>
    </w:pPr>
    <w:rPr>
      <w:b/>
      <w:bCs/>
      <w:i/>
      <w:iCs/>
      <w:color w:val="00000A"/>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hint="default"/>
      <w:szCs w:val="24"/>
      <w:lang w:val="lv-LV"/>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DefaultParagraphFont0">
    <w:name w:val="Default Paragraph Font_0"/>
  </w:style>
  <w:style w:type="character" w:customStyle="1" w:styleId="WW8Num2z1">
    <w:name w:val="WW8Num2z1"/>
    <w:rPr>
      <w:b w:val="0"/>
      <w:lang w:val="x-none"/>
    </w:rPr>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0">
    <w:name w:val="WW8Num4z0"/>
    <w:rPr>
      <w:b/>
      <w:sz w:val="22"/>
      <w:szCs w:val="22"/>
    </w:rPr>
  </w:style>
  <w:style w:type="character" w:customStyle="1" w:styleId="WW8Num4z1">
    <w:name w:val="WW8Num4z1"/>
  </w:style>
  <w:style w:type="character" w:customStyle="1" w:styleId="WW8Num4z2">
    <w:name w:val="WW8Num4z2"/>
    <w:rPr>
      <w:sz w:val="22"/>
      <w:szCs w:val="22"/>
    </w:rPr>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rPr>
      <w:rFonts w:ascii="Symbol" w:hAnsi="Symbol" w:cs="Symbol" w:hint="default"/>
      <w:b/>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rPr>
      <w:rFonts w:hint="default"/>
      <w:szCs w:val="24"/>
      <w:lang w:val="lv-LV"/>
    </w:rPr>
  </w:style>
  <w:style w:type="character" w:customStyle="1" w:styleId="WW8Num11z0">
    <w:name w:val="WW8Num11z0"/>
    <w:rPr>
      <w:b/>
      <w:sz w:val="22"/>
      <w:szCs w:val="22"/>
    </w:rPr>
  </w:style>
  <w:style w:type="character" w:customStyle="1" w:styleId="WW8Num11z1">
    <w:name w:val="WW8Num11z1"/>
  </w:style>
  <w:style w:type="character" w:customStyle="1" w:styleId="WW8Num11z2">
    <w:name w:val="WW8Num11z2"/>
    <w:rPr>
      <w:sz w:val="22"/>
      <w:szCs w:val="22"/>
    </w:rPr>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hint="default"/>
      <w:strike w:val="0"/>
      <w:dstrike w:val="0"/>
    </w:rPr>
  </w:style>
  <w:style w:type="character" w:customStyle="1" w:styleId="WW8Num12z1">
    <w:name w:val="WW8Num12z1"/>
    <w:rPr>
      <w:rFonts w:hint="default"/>
    </w:rPr>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b/>
      <w:sz w:val="22"/>
      <w:szCs w:val="22"/>
    </w:rPr>
  </w:style>
  <w:style w:type="character" w:customStyle="1" w:styleId="WW8Num14z1">
    <w:name w:val="WW8Num14z1"/>
  </w:style>
  <w:style w:type="character" w:customStyle="1" w:styleId="WW8Num14z2">
    <w:name w:val="WW8Num14z2"/>
    <w:rPr>
      <w:sz w:val="22"/>
      <w:szCs w:val="22"/>
    </w:rPr>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b/>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hint="default"/>
      <w:b/>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Symbol" w:hAnsi="Symbol" w:cs="Symbo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DefaultParagraphFont">
    <w:name w:val="WW-Default Paragraph Font"/>
  </w:style>
  <w:style w:type="character" w:customStyle="1" w:styleId="WW-DefaultParagraphFont1">
    <w:name w:val="WW-Default Paragraph Font1"/>
  </w:style>
  <w:style w:type="character" w:customStyle="1" w:styleId="WW-DefaultParagraphFont11">
    <w:name w:val="WW-Default Paragraph Font11"/>
  </w:style>
  <w:style w:type="character" w:customStyle="1" w:styleId="WW8Num2z2">
    <w:name w:val="WW8Num2z2"/>
  </w:style>
  <w:style w:type="character" w:customStyle="1" w:styleId="WW8Num2z3">
    <w:name w:val="WW8Num2z3"/>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Heading4Char">
    <w:name w:val="Heading 4 Char"/>
    <w:rPr>
      <w:rFonts w:ascii="Times New Roman" w:eastAsia="Calibri" w:hAnsi="Times New Roman" w:cs="Times New Roman"/>
      <w:color w:val="000000"/>
      <w:sz w:val="28"/>
      <w:szCs w:val="20"/>
      <w:lang w:eastAsia="zh-CN"/>
    </w:rPr>
  </w:style>
  <w:style w:type="character" w:styleId="Strong">
    <w:name w:val="Strong"/>
    <w:uiPriority w:val="22"/>
    <w:qFormat/>
    <w:rPr>
      <w:b/>
      <w:bCs/>
    </w:rPr>
  </w:style>
  <w:style w:type="character" w:styleId="Hyperlink">
    <w:name w:val="Hyperlink"/>
    <w:rPr>
      <w:color w:val="0000FF"/>
      <w:u w:val="single"/>
    </w:rPr>
  </w:style>
  <w:style w:type="character" w:styleId="CommentReference">
    <w:name w:val="annotation reference"/>
    <w:rPr>
      <w:sz w:val="16"/>
      <w:szCs w:val="16"/>
    </w:rPr>
  </w:style>
  <w:style w:type="character" w:customStyle="1" w:styleId="CommentTextChar">
    <w:name w:val="Comment Text Char"/>
    <w:rPr>
      <w:rFonts w:ascii="Times New Roman" w:eastAsia="Times New Roman" w:hAnsi="Times New Roman" w:cs="Times New Roman"/>
      <w:sz w:val="20"/>
      <w:szCs w:val="20"/>
      <w:lang w:val="x-none" w:eastAsia="zh-CN"/>
    </w:rPr>
  </w:style>
  <w:style w:type="character" w:customStyle="1" w:styleId="apple-converted-space">
    <w:name w:val="apple-converted-space"/>
  </w:style>
  <w:style w:type="character" w:customStyle="1" w:styleId="BalloonTextChar">
    <w:name w:val="Balloon Text Char"/>
    <w:rPr>
      <w:rFonts w:ascii="Tahoma" w:eastAsia="Times New Roman" w:hAnsi="Tahoma" w:cs="Tahoma"/>
      <w:sz w:val="16"/>
      <w:szCs w:val="16"/>
      <w:lang w:eastAsia="zh-CN"/>
    </w:rPr>
  </w:style>
  <w:style w:type="character" w:customStyle="1" w:styleId="HeaderChar">
    <w:name w:val="Header Char"/>
    <w:rPr>
      <w:sz w:val="24"/>
      <w:szCs w:val="24"/>
      <w:lang w:eastAsia="zh-CN"/>
    </w:rPr>
  </w:style>
  <w:style w:type="character" w:customStyle="1" w:styleId="FooterChar">
    <w:name w:val="Footer Char"/>
    <w:rPr>
      <w:sz w:val="24"/>
      <w:szCs w:val="24"/>
      <w:lang w:eastAsia="zh-CN"/>
    </w:rPr>
  </w:style>
  <w:style w:type="character" w:customStyle="1" w:styleId="CommentTextChar1">
    <w:name w:val="Comment Text Char1"/>
    <w:rPr>
      <w:lang w:val="x-none" w:eastAsia="zh-CN"/>
    </w:rPr>
  </w:style>
  <w:style w:type="character" w:customStyle="1" w:styleId="apple-style-span">
    <w:name w:val="apple-style-span"/>
    <w:rPr>
      <w:rFonts w:cs="Times New Roman"/>
    </w:rPr>
  </w:style>
  <w:style w:type="character" w:customStyle="1" w:styleId="Heading1Char">
    <w:name w:val="Heading 1 Char"/>
    <w:rPr>
      <w:rFonts w:ascii="Cambria" w:eastAsia="Times New Roman" w:hAnsi="Cambria" w:cs="Times New Roman"/>
      <w:b/>
      <w:bCs/>
      <w:kern w:val="2"/>
      <w:sz w:val="32"/>
      <w:szCs w:val="32"/>
      <w:lang w:eastAsia="zh-CN"/>
    </w:rPr>
  </w:style>
  <w:style w:type="character" w:customStyle="1" w:styleId="FootnoteTextChar">
    <w:name w:val="Footnote Text Char"/>
    <w:basedOn w:val="WW-DefaultParagraphFont111"/>
  </w:style>
  <w:style w:type="character" w:customStyle="1" w:styleId="FootnoteCharacters">
    <w:name w:val="Footnote Characters"/>
    <w:rPr>
      <w:vertAlign w:val="superscript"/>
    </w:rPr>
  </w:style>
  <w:style w:type="character" w:customStyle="1" w:styleId="contdata1">
    <w:name w:val="contdata1"/>
    <w:rPr>
      <w:color w:val="667465"/>
    </w:rPr>
  </w:style>
  <w:style w:type="character" w:styleId="FootnoteReference">
    <w:name w:val="footnote reference"/>
    <w:rPr>
      <w:vertAlign w:val="superscript"/>
    </w:rPr>
  </w:style>
  <w:style w:type="character" w:customStyle="1" w:styleId="EndnoteCharacters">
    <w:name w:val="Endnote Characters"/>
    <w:rPr>
      <w:vertAlign w:val="superscript"/>
    </w:rPr>
  </w:style>
  <w:style w:type="character" w:customStyle="1" w:styleId="WW-EndnoteCharacters">
    <w:name w:val="WW-Endnote Characters"/>
  </w:style>
  <w:style w:type="character" w:customStyle="1" w:styleId="WW-FootnoteReference">
    <w:name w:val="WW-Footnote Reference"/>
    <w:rPr>
      <w:vertAlign w:val="superscript"/>
    </w:rPr>
  </w:style>
  <w:style w:type="character" w:styleId="EndnoteReference">
    <w:name w:val="endnote reference"/>
    <w:rPr>
      <w:vertAlign w:val="superscript"/>
    </w:rPr>
  </w:style>
  <w:style w:type="character" w:customStyle="1" w:styleId="NumberingSymbols">
    <w:name w:val="Numbering Symbols"/>
  </w:style>
  <w:style w:type="character" w:customStyle="1" w:styleId="WW-FootnoteReference1">
    <w:name w:val="WW-Footnote Reference1"/>
    <w:rPr>
      <w:vertAlign w:val="superscript"/>
    </w:rPr>
  </w:style>
  <w:style w:type="character" w:customStyle="1" w:styleId="WW-EndnoteReference">
    <w:name w:val="WW-Endnote Reference"/>
    <w:rPr>
      <w:vertAlign w:val="superscript"/>
    </w:rPr>
  </w:style>
  <w:style w:type="character" w:customStyle="1" w:styleId="ListParagraphChar">
    <w:name w:val="List Paragraph Char"/>
    <w:rPr>
      <w:sz w:val="24"/>
      <w:lang w:eastAsia="zh-CN"/>
    </w:rPr>
  </w:style>
  <w:style w:type="character" w:customStyle="1" w:styleId="Heading5Char">
    <w:name w:val="Heading 5 Char"/>
    <w:rPr>
      <w:b/>
      <w:bCs/>
      <w:i/>
      <w:iCs/>
      <w:color w:val="00000A"/>
      <w:sz w:val="26"/>
      <w:szCs w:val="26"/>
      <w:lang w:val="en-GB"/>
    </w:rPr>
  </w:style>
  <w:style w:type="character" w:customStyle="1" w:styleId="Heading2Char">
    <w:name w:val="Heading 2 Char"/>
    <w:rPr>
      <w:rFonts w:ascii="Arial" w:eastAsia="WenQuanYi Micro Hei" w:hAnsi="Arial" w:cs="Lohit Hindi"/>
      <w:b/>
      <w:bCs/>
      <w:sz w:val="32"/>
      <w:szCs w:val="32"/>
      <w:lang w:eastAsia="zh-CN"/>
    </w:rPr>
  </w:style>
  <w:style w:type="character" w:customStyle="1" w:styleId="Heading3Char">
    <w:name w:val="Heading 3 Char"/>
    <w:rPr>
      <w:rFonts w:ascii="Arial" w:eastAsia="WenQuanYi Micro Hei" w:hAnsi="Arial" w:cs="Lohit Hindi"/>
      <w:b/>
      <w:bCs/>
      <w:sz w:val="28"/>
      <w:szCs w:val="28"/>
      <w:lang w:eastAsia="zh-CN"/>
    </w:rPr>
  </w:style>
  <w:style w:type="character" w:customStyle="1" w:styleId="WW-InternetLink">
    <w:name w:val="WW-Internet Link"/>
    <w:rPr>
      <w:color w:val="0000FF"/>
      <w:u w:val="single"/>
    </w:rPr>
  </w:style>
  <w:style w:type="character" w:customStyle="1" w:styleId="CommentSubjectChar">
    <w:name w:val="Comment Subject Char"/>
    <w:rPr>
      <w:b/>
      <w:bCs/>
      <w:lang w:eastAsia="zh-CN"/>
    </w:rPr>
  </w:style>
  <w:style w:type="character" w:customStyle="1" w:styleId="BodyTextChar">
    <w:name w:val="Body Text Char"/>
    <w:rPr>
      <w:sz w:val="24"/>
      <w:szCs w:val="24"/>
      <w:lang w:eastAsia="zh-CN"/>
    </w:rPr>
  </w:style>
  <w:style w:type="character" w:styleId="PageNumber">
    <w:name w:val="page number"/>
  </w:style>
  <w:style w:type="character" w:customStyle="1" w:styleId="BodyText2Char">
    <w:name w:val="Body Text 2 Char"/>
    <w:rPr>
      <w:rFonts w:ascii="Dutch TL" w:hAnsi="Dutch TL" w:cs="Dutch TL"/>
      <w:sz w:val="24"/>
    </w:rPr>
  </w:style>
  <w:style w:type="character" w:customStyle="1" w:styleId="TitleChar">
    <w:name w:val="Title Char"/>
    <w:rPr>
      <w:rFonts w:ascii="Arial" w:eastAsia="WenQuanYi Micro Hei" w:hAnsi="Arial" w:cs="Lohit Hindi"/>
      <w:b/>
      <w:bCs/>
      <w:sz w:val="56"/>
      <w:szCs w:val="56"/>
      <w:lang w:eastAsia="zh-CN"/>
    </w:rPr>
  </w:style>
  <w:style w:type="character" w:customStyle="1" w:styleId="SubtitleChar">
    <w:name w:val="Subtitle Char"/>
    <w:rPr>
      <w:rFonts w:ascii="Arial" w:eastAsia="WenQuanYi Micro Hei" w:hAnsi="Arial" w:cs="Lohit Hindi"/>
      <w:sz w:val="36"/>
      <w:szCs w:val="36"/>
      <w:lang w:eastAsia="zh-CN"/>
    </w:rPr>
  </w:style>
  <w:style w:type="character" w:styleId="Emphasis">
    <w:name w:val="Emphasis"/>
    <w:qFormat/>
    <w:rPr>
      <w:b/>
      <w:bCs/>
      <w:i w:val="0"/>
      <w:iCs w:val="0"/>
    </w:rPr>
  </w:style>
  <w:style w:type="character" w:customStyle="1" w:styleId="DocumentMapChar">
    <w:name w:val="Document Map Char"/>
    <w:rPr>
      <w:rFonts w:ascii="Tahoma" w:hAnsi="Tahoma" w:cs="Tahoma"/>
      <w:shd w:val="clear" w:color="auto" w:fill="000080"/>
    </w:rPr>
  </w:style>
  <w:style w:type="character" w:customStyle="1" w:styleId="CharChar1">
    <w:name w:val="Char Char1"/>
    <w:rPr>
      <w:lang w:val="lv-LV" w:bidi="ar-SA"/>
    </w:rPr>
  </w:style>
  <w:style w:type="character" w:customStyle="1" w:styleId="CharChar2">
    <w:name w:val="Char Char2"/>
    <w:rPr>
      <w:rFonts w:ascii="Dutch TL" w:hAnsi="Dutch TL" w:cs="Dutch TL"/>
      <w:sz w:val="24"/>
      <w:lang w:val="lv-LV" w:bidi="ar-SA"/>
    </w:rPr>
  </w:style>
  <w:style w:type="character" w:customStyle="1" w:styleId="FootnoteTextChar1">
    <w:name w:val="Footnote Text Char1"/>
    <w:rPr>
      <w:rFonts w:cs="Times New Roman"/>
    </w:rPr>
  </w:style>
  <w:style w:type="character" w:customStyle="1" w:styleId="PlainTextChar">
    <w:name w:val="Plain Text Char"/>
    <w:rPr>
      <w:rFonts w:ascii="Calibri" w:eastAsia="Calibri" w:hAnsi="Calibri" w:cs="Calibri"/>
      <w:szCs w:val="21"/>
      <w:lang w:val="x-none"/>
    </w:rPr>
  </w:style>
  <w:style w:type="character" w:customStyle="1" w:styleId="CharChar">
    <w:name w:val="Char Char"/>
    <w:rPr>
      <w:rFonts w:ascii="Calibri" w:eastAsia="Calibri" w:hAnsi="Calibri" w:cs="Calibri"/>
      <w:sz w:val="22"/>
      <w:szCs w:val="21"/>
    </w:rPr>
  </w:style>
  <w:style w:type="character" w:customStyle="1" w:styleId="CharChar4">
    <w:name w:val="Char Char4"/>
    <w:rPr>
      <w:rFonts w:ascii="Dutch TL" w:hAnsi="Dutch TL" w:cs="Dutch TL"/>
      <w:b/>
      <w:sz w:val="24"/>
    </w:rPr>
  </w:style>
  <w:style w:type="character" w:customStyle="1" w:styleId="CharChar3">
    <w:name w:val="Char Char3"/>
    <w:rPr>
      <w:b/>
      <w:bCs/>
      <w:sz w:val="28"/>
      <w:szCs w:val="28"/>
      <w:lang w:val="en-GB"/>
    </w:rPr>
  </w:style>
  <w:style w:type="character" w:customStyle="1" w:styleId="BodyText3Char">
    <w:name w:val="Body Text 3 Char"/>
    <w:rPr>
      <w:b/>
      <w:szCs w:val="24"/>
      <w:lang w:eastAsia="zh-CN"/>
    </w:rPr>
  </w:style>
  <w:style w:type="character" w:styleId="FollowedHyperlink">
    <w:name w:val="FollowedHyperlink"/>
    <w:rPr>
      <w:color w:val="800080"/>
      <w:u w:val="single"/>
    </w:rPr>
  </w:style>
  <w:style w:type="character" w:customStyle="1" w:styleId="BodyTextIndentChar">
    <w:name w:val="Body Text Indent Char"/>
    <w:rPr>
      <w:rFonts w:eastAsia="Lucida Sans Unicode"/>
      <w:sz w:val="24"/>
      <w:szCs w:val="24"/>
    </w:rPr>
  </w:style>
  <w:style w:type="character" w:customStyle="1" w:styleId="CharChar5">
    <w:name w:val="Char Char5"/>
    <w:rPr>
      <w:rFonts w:eastAsia="Lucida Sans Unicode"/>
      <w:sz w:val="24"/>
      <w:szCs w:val="24"/>
      <w:lang w:val="lv-LV"/>
    </w:rPr>
  </w:style>
  <w:style w:type="character" w:customStyle="1" w:styleId="ListLabel1">
    <w:name w:val="ListLabel 1"/>
    <w:rPr>
      <w:b/>
      <w:sz w:val="22"/>
      <w:szCs w:val="22"/>
    </w:rPr>
  </w:style>
  <w:style w:type="character" w:customStyle="1" w:styleId="ListLabel2">
    <w:name w:val="ListLabel 2"/>
  </w:style>
  <w:style w:type="character" w:customStyle="1" w:styleId="ListLabel3">
    <w:name w:val="ListLabel 3"/>
    <w:rPr>
      <w:sz w:val="22"/>
      <w:szCs w:val="22"/>
    </w:rPr>
  </w:style>
  <w:style w:type="character" w:customStyle="1" w:styleId="ListLabel4">
    <w:name w:val="ListLabel 4"/>
    <w:rPr>
      <w:rFonts w:cs="Courier New"/>
    </w:rPr>
  </w:style>
  <w:style w:type="character" w:customStyle="1" w:styleId="ListLabel5">
    <w:name w:val="ListLabel 5"/>
    <w:rPr>
      <w:rFonts w:cs="Courier New"/>
    </w:rPr>
  </w:style>
  <w:style w:type="character" w:customStyle="1" w:styleId="ListLabel6">
    <w:name w:val="ListLabel 6"/>
    <w:rPr>
      <w:rFonts w:cs="Courier New"/>
    </w:rPr>
  </w:style>
  <w:style w:type="character" w:customStyle="1" w:styleId="ListLabel7">
    <w:name w:val="ListLabel 7"/>
    <w:rPr>
      <w:rFonts w:cs="Times New Roman"/>
    </w:rPr>
  </w:style>
  <w:style w:type="character" w:customStyle="1" w:styleId="ListLabel8">
    <w:name w:val="ListLabel 8"/>
    <w:rPr>
      <w:rFonts w:cs="Times New Roman"/>
    </w:rPr>
  </w:style>
  <w:style w:type="character" w:customStyle="1" w:styleId="ListLabel9">
    <w:name w:val="ListLabel 9"/>
    <w:rPr>
      <w:rFonts w:cs="Times New Roman"/>
    </w:rPr>
  </w:style>
  <w:style w:type="character" w:customStyle="1" w:styleId="ListLabel10">
    <w:name w:val="ListLabel 10"/>
    <w:rPr>
      <w:rFonts w:cs="Times New Roman"/>
    </w:rPr>
  </w:style>
  <w:style w:type="character" w:customStyle="1" w:styleId="ListLabel11">
    <w:name w:val="ListLabel 11"/>
    <w:rPr>
      <w:rFonts w:cs="Times New Roman"/>
    </w:rPr>
  </w:style>
  <w:style w:type="character" w:customStyle="1" w:styleId="ListLabel12">
    <w:name w:val="ListLabel 12"/>
    <w:rPr>
      <w:rFonts w:cs="Times New Roman"/>
    </w:rPr>
  </w:style>
  <w:style w:type="character" w:customStyle="1" w:styleId="ListLabel13">
    <w:name w:val="ListLabel 13"/>
    <w:rPr>
      <w:rFonts w:cs="Times New Roman"/>
    </w:rPr>
  </w:style>
  <w:style w:type="character" w:customStyle="1" w:styleId="ListLabel14">
    <w:name w:val="ListLabel 14"/>
    <w:rPr>
      <w:rFonts w:cs="Times New Roman"/>
    </w:rPr>
  </w:style>
  <w:style w:type="character" w:customStyle="1" w:styleId="ListLabel15">
    <w:name w:val="ListLabel 15"/>
    <w:rPr>
      <w:rFonts w:cs="Times New Roman"/>
    </w:rPr>
  </w:style>
  <w:style w:type="character" w:customStyle="1" w:styleId="ListLabel16">
    <w:name w:val="ListLabel 16"/>
    <w:rPr>
      <w:b/>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ListLabel22">
    <w:name w:val="ListLabel 22"/>
    <w:rPr>
      <w:rFonts w:cs="Courier New"/>
    </w:rPr>
  </w:style>
  <w:style w:type="character" w:customStyle="1" w:styleId="ListLabel23">
    <w:name w:val="ListLabel 23"/>
    <w:rPr>
      <w:rFonts w:cs="Courier New"/>
    </w:rPr>
  </w:style>
  <w:style w:type="character" w:customStyle="1" w:styleId="ListLabel24">
    <w:name w:val="ListLabel 24"/>
    <w:rPr>
      <w:rFonts w:cs="Courier New"/>
    </w:rPr>
  </w:style>
  <w:style w:type="character" w:customStyle="1" w:styleId="ListLabel25">
    <w:name w:val="ListLabel 25"/>
    <w:rPr>
      <w:rFonts w:cs="Courier New"/>
    </w:rPr>
  </w:style>
  <w:style w:type="character" w:customStyle="1" w:styleId="ListLabel26">
    <w:name w:val="ListLabel 26"/>
    <w:rPr>
      <w:b/>
      <w:sz w:val="22"/>
      <w:szCs w:val="22"/>
    </w:rPr>
  </w:style>
  <w:style w:type="character" w:customStyle="1" w:styleId="ListLabel27">
    <w:name w:val="ListLabel 27"/>
  </w:style>
  <w:style w:type="character" w:customStyle="1" w:styleId="ListLabel28">
    <w:name w:val="ListLabel 28"/>
    <w:rPr>
      <w:sz w:val="22"/>
      <w:szCs w:val="22"/>
    </w:rPr>
  </w:style>
  <w:style w:type="character" w:customStyle="1" w:styleId="WW-FootnoteReference2">
    <w:name w:val="WW-Footnote Reference2"/>
    <w:rPr>
      <w:vertAlign w:val="superscript"/>
    </w:rPr>
  </w:style>
  <w:style w:type="character" w:customStyle="1" w:styleId="IndexLink">
    <w:name w:val="Index Link"/>
  </w:style>
  <w:style w:type="character" w:customStyle="1" w:styleId="WW-EndnoteReference1">
    <w:name w:val="WW-Endnote Reference1"/>
    <w:rPr>
      <w:vertAlign w:val="superscript"/>
    </w:rPr>
  </w:style>
  <w:style w:type="character" w:customStyle="1" w:styleId="ListLabel29">
    <w:name w:val="ListLabel 29"/>
    <w:rPr>
      <w:b/>
      <w:sz w:val="22"/>
      <w:szCs w:val="22"/>
    </w:rPr>
  </w:style>
  <w:style w:type="character" w:customStyle="1" w:styleId="ListLabel30">
    <w:name w:val="ListLabel 30"/>
  </w:style>
  <w:style w:type="character" w:customStyle="1" w:styleId="ListLabel31">
    <w:name w:val="ListLabel 31"/>
    <w:rPr>
      <w:sz w:val="22"/>
      <w:szCs w:val="22"/>
    </w:rPr>
  </w:style>
  <w:style w:type="character" w:customStyle="1" w:styleId="ListLabel32">
    <w:name w:val="ListLabel 32"/>
    <w:rPr>
      <w:rFonts w:cs="Symbol"/>
      <w:b/>
    </w:rPr>
  </w:style>
  <w:style w:type="character" w:customStyle="1" w:styleId="ListLabel33">
    <w:name w:val="ListLabel 33"/>
    <w:rPr>
      <w:rFonts w:cs="Courier New"/>
    </w:rPr>
  </w:style>
  <w:style w:type="character" w:customStyle="1" w:styleId="ListLabel34">
    <w:name w:val="ListLabel 34"/>
    <w:rPr>
      <w:rFonts w:cs="Wingdings"/>
    </w:rPr>
  </w:style>
  <w:style w:type="character" w:customStyle="1" w:styleId="ListLabel35">
    <w:name w:val="ListLabel 35"/>
    <w:rPr>
      <w:rFonts w:cs="Symbol"/>
    </w:rPr>
  </w:style>
  <w:style w:type="character" w:customStyle="1" w:styleId="ListLabel36">
    <w:name w:val="ListLabel 36"/>
    <w:rPr>
      <w:rFonts w:cs="Courier New"/>
    </w:rPr>
  </w:style>
  <w:style w:type="character" w:customStyle="1" w:styleId="ListLabel37">
    <w:name w:val="ListLabel 37"/>
    <w:rPr>
      <w:rFonts w:cs="Wingdings"/>
    </w:rPr>
  </w:style>
  <w:style w:type="character" w:customStyle="1" w:styleId="ListLabel38">
    <w:name w:val="ListLabel 38"/>
    <w:rPr>
      <w:rFonts w:cs="Symbol"/>
    </w:rPr>
  </w:style>
  <w:style w:type="character" w:customStyle="1" w:styleId="ListLabel39">
    <w:name w:val="ListLabel 39"/>
    <w:rPr>
      <w:rFonts w:cs="Courier New"/>
    </w:rPr>
  </w:style>
  <w:style w:type="character" w:customStyle="1" w:styleId="ListLabel40">
    <w:name w:val="ListLabel 40"/>
    <w:rPr>
      <w:rFonts w:cs="Wingdings"/>
    </w:rPr>
  </w:style>
  <w:style w:type="character" w:customStyle="1" w:styleId="ListLabel41">
    <w:name w:val="ListLabel 41"/>
    <w:rPr>
      <w:rFonts w:cs="Symbol"/>
    </w:rPr>
  </w:style>
  <w:style w:type="character" w:customStyle="1" w:styleId="ListLabel42">
    <w:name w:val="ListLabel 42"/>
    <w:rPr>
      <w:rFonts w:cs="Courier New"/>
    </w:rPr>
  </w:style>
  <w:style w:type="character" w:customStyle="1" w:styleId="ListLabel43">
    <w:name w:val="ListLabel 43"/>
    <w:rPr>
      <w:rFonts w:cs="Wingdings"/>
    </w:rPr>
  </w:style>
  <w:style w:type="character" w:customStyle="1" w:styleId="ListLabel44">
    <w:name w:val="ListLabel 44"/>
    <w:rPr>
      <w:rFonts w:cs="Symbol"/>
    </w:rPr>
  </w:style>
  <w:style w:type="character" w:customStyle="1" w:styleId="ListLabel45">
    <w:name w:val="ListLabel 45"/>
    <w:rPr>
      <w:rFonts w:cs="Courier New"/>
    </w:rPr>
  </w:style>
  <w:style w:type="character" w:customStyle="1" w:styleId="ListLabel46">
    <w:name w:val="ListLabel 46"/>
    <w:rPr>
      <w:rFonts w:cs="Wingdings"/>
    </w:rPr>
  </w:style>
  <w:style w:type="character" w:customStyle="1" w:styleId="ListLabel47">
    <w:name w:val="ListLabel 47"/>
    <w:rPr>
      <w:rFonts w:cs="Symbol"/>
    </w:rPr>
  </w:style>
  <w:style w:type="character" w:customStyle="1" w:styleId="ListLabel48">
    <w:name w:val="ListLabel 48"/>
    <w:rPr>
      <w:rFonts w:cs="Courier New"/>
    </w:rPr>
  </w:style>
  <w:style w:type="character" w:customStyle="1" w:styleId="ListLabel49">
    <w:name w:val="ListLabel 49"/>
    <w:rPr>
      <w:rFonts w:cs="Wingdings"/>
    </w:rPr>
  </w:style>
  <w:style w:type="character" w:customStyle="1" w:styleId="ListLabel50">
    <w:name w:val="ListLabel 50"/>
    <w:rPr>
      <w:rFonts w:cs="Symbol"/>
    </w:rPr>
  </w:style>
  <w:style w:type="character" w:customStyle="1" w:styleId="ListLabel51">
    <w:name w:val="ListLabel 51"/>
    <w:rPr>
      <w:rFonts w:cs="Courier New"/>
    </w:rPr>
  </w:style>
  <w:style w:type="character" w:customStyle="1" w:styleId="ListLabel52">
    <w:name w:val="ListLabel 52"/>
    <w:rPr>
      <w:rFonts w:cs="Wingdings"/>
    </w:rPr>
  </w:style>
  <w:style w:type="character" w:customStyle="1" w:styleId="ListLabel53">
    <w:name w:val="ListLabel 53"/>
    <w:rPr>
      <w:rFonts w:cs="Symbol"/>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BodyTextChar1">
    <w:name w:val="Body Text Char1"/>
    <w:rPr>
      <w:rFonts w:ascii="Times New Roman" w:eastAsia="Times New Roman" w:hAnsi="Times New Roman" w:cs="Times New Roman"/>
      <w:color w:val="00000A"/>
      <w:sz w:val="24"/>
      <w:szCs w:val="24"/>
      <w:lang w:eastAsia="zh-CN"/>
    </w:rPr>
  </w:style>
  <w:style w:type="character" w:customStyle="1" w:styleId="FootnoteTextChar2">
    <w:name w:val="Footnote Text Char2"/>
    <w:rPr>
      <w:rFonts w:ascii="Times New Roman" w:eastAsia="Times New Roman" w:hAnsi="Times New Roman" w:cs="Times New Roman"/>
      <w:color w:val="00000A"/>
      <w:szCs w:val="20"/>
      <w:lang w:eastAsia="zh-CN"/>
    </w:rPr>
  </w:style>
  <w:style w:type="character" w:customStyle="1" w:styleId="BalloonTextChar1">
    <w:name w:val="Balloon Text Char1"/>
    <w:rPr>
      <w:rFonts w:ascii="Segoe UI" w:eastAsia="Times New Roman" w:hAnsi="Segoe UI" w:cs="Segoe UI"/>
      <w:color w:val="00000A"/>
      <w:sz w:val="18"/>
      <w:szCs w:val="18"/>
      <w:lang w:eastAsia="zh-CN"/>
    </w:rPr>
  </w:style>
  <w:style w:type="character" w:customStyle="1" w:styleId="CommentSubjectChar1">
    <w:name w:val="Comment Subject Char1"/>
    <w:rPr>
      <w:rFonts w:ascii="Times New Roman" w:eastAsia="Times New Roman" w:hAnsi="Times New Roman" w:cs="Times New Roman"/>
      <w:b/>
      <w:bCs/>
      <w:color w:val="00000A"/>
      <w:szCs w:val="20"/>
      <w:lang w:val="x-none" w:eastAsia="zh-CN"/>
    </w:rPr>
  </w:style>
  <w:style w:type="character" w:customStyle="1" w:styleId="HeaderChar1">
    <w:name w:val="Header Char1"/>
    <w:rPr>
      <w:rFonts w:ascii="Times New Roman" w:eastAsia="Times New Roman" w:hAnsi="Times New Roman" w:cs="Times New Roman"/>
      <w:color w:val="00000A"/>
      <w:sz w:val="24"/>
      <w:szCs w:val="24"/>
      <w:lang w:eastAsia="zh-CN"/>
    </w:rPr>
  </w:style>
  <w:style w:type="character" w:customStyle="1" w:styleId="FooterChar1">
    <w:name w:val="Footer Char1"/>
    <w:rPr>
      <w:rFonts w:ascii="Times New Roman" w:eastAsia="Times New Roman" w:hAnsi="Times New Roman" w:cs="Times New Roman"/>
      <w:color w:val="00000A"/>
      <w:sz w:val="24"/>
      <w:szCs w:val="24"/>
      <w:lang w:eastAsia="zh-CN"/>
    </w:rPr>
  </w:style>
  <w:style w:type="character" w:customStyle="1" w:styleId="BodyText2Char1">
    <w:name w:val="Body Text 2 Char1"/>
    <w:rPr>
      <w:sz w:val="24"/>
      <w:szCs w:val="24"/>
      <w:lang w:eastAsia="zh-CN"/>
    </w:rPr>
  </w:style>
  <w:style w:type="character" w:customStyle="1" w:styleId="TitleChar1">
    <w:name w:val="Title Char1"/>
    <w:rPr>
      <w:rFonts w:ascii="Calibri Light" w:eastAsia="Calibri Light" w:hAnsi="Calibri Light" w:cs="Calibri Light"/>
      <w:spacing w:val="-10"/>
      <w:kern w:val="2"/>
      <w:sz w:val="56"/>
      <w:szCs w:val="56"/>
      <w:lang w:eastAsia="zh-CN"/>
    </w:rPr>
  </w:style>
  <w:style w:type="character" w:customStyle="1" w:styleId="SubtitleChar1">
    <w:name w:val="Subtitle Char1"/>
    <w:rPr>
      <w:rFonts w:eastAsia="Calibri"/>
      <w:color w:val="5A5A5A"/>
      <w:spacing w:val="15"/>
      <w:sz w:val="22"/>
      <w:lang w:eastAsia="zh-CN"/>
    </w:rPr>
  </w:style>
  <w:style w:type="character" w:customStyle="1" w:styleId="DocumentMapChar1">
    <w:name w:val="Document Map Char1"/>
    <w:rPr>
      <w:rFonts w:ascii="Segoe UI" w:hAnsi="Segoe UI" w:cs="Segoe UI"/>
      <w:sz w:val="16"/>
      <w:szCs w:val="16"/>
      <w:lang w:eastAsia="zh-CN"/>
    </w:rPr>
  </w:style>
  <w:style w:type="character" w:customStyle="1" w:styleId="PlainTextChar1">
    <w:name w:val="Plain Text Char1"/>
    <w:rPr>
      <w:rFonts w:ascii="Courier New" w:hAnsi="Courier New" w:cs="Courier New"/>
      <w:lang w:eastAsia="zh-CN"/>
    </w:rPr>
  </w:style>
  <w:style w:type="character" w:customStyle="1" w:styleId="BodyText3Char1">
    <w:name w:val="Body Text 3 Char1"/>
    <w:rPr>
      <w:sz w:val="16"/>
      <w:szCs w:val="16"/>
      <w:lang w:eastAsia="zh-CN"/>
    </w:rPr>
  </w:style>
  <w:style w:type="character" w:customStyle="1" w:styleId="BodyTextIndentChar1">
    <w:name w:val="Body Text Indent Char1"/>
    <w:rPr>
      <w:sz w:val="24"/>
      <w:szCs w:val="24"/>
      <w:lang w:eastAsia="zh-CN"/>
    </w:rPr>
  </w:style>
  <w:style w:type="character" w:customStyle="1" w:styleId="FootnoteReference0">
    <w:name w:val="Footnote Reference_0"/>
    <w:rPr>
      <w:vertAlign w:val="superscript"/>
    </w:rPr>
  </w:style>
  <w:style w:type="character" w:customStyle="1" w:styleId="EndnoteReference0">
    <w:name w:val="Endnote Reference_0"/>
    <w:rPr>
      <w:vertAlign w:val="superscript"/>
    </w:rPr>
  </w:style>
  <w:style w:type="paragraph" w:customStyle="1" w:styleId="Heading">
    <w:name w:val="Heading"/>
    <w:basedOn w:val="Normal"/>
    <w:next w:val="BodyText"/>
    <w:pPr>
      <w:keepNext/>
      <w:spacing w:before="240" w:after="120"/>
    </w:pPr>
    <w:rPr>
      <w:rFonts w:ascii="Arial" w:eastAsia="WenQuanYi Micro Hei" w:hAnsi="Arial" w:cs="Lohit Hindi"/>
      <w:sz w:val="28"/>
      <w:szCs w:val="28"/>
    </w:rPr>
  </w:style>
  <w:style w:type="paragraph" w:styleId="BodyText">
    <w:name w:val="Body Text"/>
    <w:basedOn w:val="Normal"/>
    <w:pPr>
      <w:spacing w:after="120"/>
    </w:pPr>
    <w:rPr>
      <w:lang w:val="x-none"/>
    </w:rPr>
  </w:style>
  <w:style w:type="paragraph" w:styleId="List">
    <w:name w:val="List"/>
    <w:basedOn w:val="BodyText"/>
    <w:rPr>
      <w:rFonts w:cs="Lohit Hindi"/>
    </w:rPr>
  </w:style>
  <w:style w:type="paragraph" w:styleId="Caption">
    <w:name w:val="caption"/>
    <w:basedOn w:val="Normal"/>
    <w:qFormat/>
    <w:pPr>
      <w:suppressLineNumbers/>
      <w:spacing w:before="120" w:after="120"/>
    </w:pPr>
    <w:rPr>
      <w:rFonts w:cs="Lohit Hindi"/>
      <w:i/>
      <w:iCs/>
    </w:rPr>
  </w:style>
  <w:style w:type="paragraph" w:customStyle="1" w:styleId="Index">
    <w:name w:val="Index"/>
    <w:basedOn w:val="Normal"/>
    <w:pPr>
      <w:suppressLineNumbers/>
    </w:pPr>
    <w:rPr>
      <w:rFonts w:cs="Lohit Hindi"/>
    </w:rPr>
  </w:style>
  <w:style w:type="paragraph" w:customStyle="1" w:styleId="Parasts1">
    <w:name w:val="Parasts1"/>
    <w:pPr>
      <w:suppressAutoHyphens/>
      <w:spacing w:after="200" w:line="276" w:lineRule="auto"/>
    </w:pPr>
    <w:rPr>
      <w:rFonts w:ascii="Calibri" w:eastAsia="Calibri" w:hAnsi="Calibri" w:cs="Calibri"/>
      <w:sz w:val="22"/>
      <w:szCs w:val="22"/>
      <w:lang w:val="lv-LV" w:eastAsia="zh-CN"/>
    </w:rPr>
  </w:style>
  <w:style w:type="paragraph" w:styleId="CommentText">
    <w:name w:val="annotation text"/>
    <w:basedOn w:val="Normal"/>
    <w:rPr>
      <w:sz w:val="20"/>
      <w:szCs w:val="20"/>
      <w:lang w:val="x-none"/>
    </w:rPr>
  </w:style>
  <w:style w:type="paragraph" w:styleId="BalloonText">
    <w:name w:val="Balloon Text"/>
    <w:basedOn w:val="Normal"/>
    <w:rPr>
      <w:rFonts w:ascii="Tahoma" w:hAnsi="Tahoma" w:cs="Tahoma"/>
      <w:sz w:val="16"/>
      <w:szCs w:val="16"/>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HeaderandFooter">
    <w:name w:val="Header and Footer"/>
    <w:basedOn w:val="Normal"/>
    <w:pPr>
      <w:suppressLineNumbers/>
      <w:tabs>
        <w:tab w:val="center" w:pos="4819"/>
        <w:tab w:val="right" w:pos="9638"/>
      </w:tabs>
    </w:pPr>
  </w:style>
  <w:style w:type="paragraph" w:styleId="Header">
    <w:name w:val="header"/>
    <w:basedOn w:val="Normal"/>
    <w:pPr>
      <w:tabs>
        <w:tab w:val="center" w:pos="4153"/>
        <w:tab w:val="right" w:pos="8306"/>
      </w:tabs>
    </w:pPr>
    <w:rPr>
      <w:lang w:val="x-none"/>
    </w:rPr>
  </w:style>
  <w:style w:type="paragraph" w:styleId="Footer">
    <w:name w:val="footer"/>
    <w:basedOn w:val="Normal"/>
    <w:pPr>
      <w:tabs>
        <w:tab w:val="center" w:pos="4153"/>
        <w:tab w:val="right" w:pos="8306"/>
      </w:tabs>
    </w:pPr>
    <w:rPr>
      <w:lang w:val="x-none"/>
    </w:rPr>
  </w:style>
  <w:style w:type="paragraph" w:styleId="CommentSubject">
    <w:name w:val="annotation subject"/>
    <w:basedOn w:val="CommentText"/>
    <w:next w:val="CommentText"/>
    <w:rPr>
      <w:b/>
      <w:bCs/>
    </w:rPr>
  </w:style>
  <w:style w:type="paragraph" w:customStyle="1" w:styleId="naisf">
    <w:name w:val="naisf"/>
    <w:basedOn w:val="Normal"/>
    <w:pPr>
      <w:suppressAutoHyphens w:val="0"/>
      <w:spacing w:before="280" w:after="280"/>
      <w:jc w:val="both"/>
    </w:pPr>
    <w:rPr>
      <w:rFonts w:ascii="Arial Unicode MS" w:hAnsi="Arial Unicode MS" w:cs="Arial Unicode MS"/>
      <w:lang w:val="en-GB"/>
    </w:rPr>
  </w:style>
  <w:style w:type="paragraph" w:styleId="FootnoteText">
    <w:name w:val="footnote text"/>
    <w:basedOn w:val="Normal"/>
    <w:pPr>
      <w:suppressAutoHyphens w:val="0"/>
    </w:pPr>
    <w:rPr>
      <w:sz w:val="20"/>
      <w:szCs w:val="20"/>
    </w:rPr>
  </w:style>
  <w:style w:type="paragraph" w:styleId="ListParagraph">
    <w:name w:val="List Paragraph"/>
    <w:basedOn w:val="Normal"/>
    <w:qFormat/>
    <w:pPr>
      <w:suppressAutoHyphens w:val="0"/>
      <w:ind w:left="720"/>
    </w:pPr>
    <w:rPr>
      <w:szCs w:val="20"/>
      <w:lang w:val="x-none"/>
    </w:rPr>
  </w:style>
  <w:style w:type="paragraph" w:customStyle="1" w:styleId="Quotations">
    <w:name w:val="Quotations"/>
    <w:basedOn w:val="Normal"/>
    <w:pPr>
      <w:spacing w:after="283"/>
      <w:ind w:left="567" w:right="567"/>
    </w:pPr>
  </w:style>
  <w:style w:type="paragraph" w:styleId="Title">
    <w:name w:val="Title"/>
    <w:basedOn w:val="Heading"/>
    <w:next w:val="BodyText"/>
    <w:qFormat/>
    <w:pPr>
      <w:jc w:val="center"/>
    </w:pPr>
    <w:rPr>
      <w:rFonts w:cs="Times New Roman"/>
      <w:b/>
      <w:bCs/>
      <w:sz w:val="56"/>
      <w:szCs w:val="56"/>
      <w:lang w:val="x-none"/>
    </w:rPr>
  </w:style>
  <w:style w:type="paragraph" w:styleId="Subtitle">
    <w:name w:val="Subtitle"/>
    <w:basedOn w:val="Heading"/>
    <w:next w:val="BodyText"/>
    <w:qFormat/>
    <w:pPr>
      <w:spacing w:before="60"/>
      <w:jc w:val="center"/>
    </w:pPr>
    <w:rPr>
      <w:rFonts w:cs="Times New Roman"/>
      <w:sz w:val="36"/>
      <w:szCs w:val="36"/>
      <w:lang w:val="x-none"/>
    </w:rPr>
  </w:style>
  <w:style w:type="paragraph" w:customStyle="1" w:styleId="Tabula">
    <w:name w:val="Tabula"/>
    <w:basedOn w:val="Caption"/>
  </w:style>
  <w:style w:type="paragraph" w:styleId="BodyText2">
    <w:name w:val="Body Text 2"/>
    <w:basedOn w:val="Normal"/>
    <w:pPr>
      <w:suppressAutoHyphens w:val="0"/>
      <w:spacing w:after="120" w:line="480" w:lineRule="auto"/>
    </w:pPr>
    <w:rPr>
      <w:rFonts w:ascii="Dutch TL" w:hAnsi="Dutch TL" w:cs="Dutch TL"/>
      <w:szCs w:val="20"/>
      <w:lang w:val="x-none"/>
    </w:rPr>
  </w:style>
  <w:style w:type="paragraph" w:customStyle="1" w:styleId="tvhtmlmktable">
    <w:name w:val="tv_html mk_table"/>
    <w:basedOn w:val="Normal"/>
    <w:pPr>
      <w:suppressAutoHyphens w:val="0"/>
      <w:spacing w:before="280" w:after="280"/>
    </w:pPr>
    <w:rPr>
      <w:rFonts w:ascii="Verdana" w:hAnsi="Verdana" w:cs="Verdana"/>
      <w:color w:val="00000A"/>
      <w:sz w:val="18"/>
      <w:szCs w:val="18"/>
    </w:rPr>
  </w:style>
  <w:style w:type="paragraph" w:styleId="DocumentMap">
    <w:name w:val="Document Map"/>
    <w:basedOn w:val="Normal"/>
    <w:pPr>
      <w:shd w:val="clear" w:color="auto" w:fill="000080"/>
      <w:suppressAutoHyphens w:val="0"/>
    </w:pPr>
    <w:rPr>
      <w:rFonts w:ascii="Tahoma" w:hAnsi="Tahoma" w:cs="Tahoma"/>
      <w:sz w:val="20"/>
      <w:szCs w:val="20"/>
      <w:lang w:val="x-none"/>
    </w:rPr>
  </w:style>
  <w:style w:type="paragraph" w:styleId="NormalWeb">
    <w:name w:val="Normal (Web)"/>
    <w:basedOn w:val="Normal"/>
    <w:uiPriority w:val="99"/>
    <w:pPr>
      <w:suppressAutoHyphens w:val="0"/>
      <w:spacing w:before="280" w:after="280"/>
    </w:pPr>
    <w:rPr>
      <w:rFonts w:eastAsia="Calibri"/>
      <w:color w:val="00000A"/>
    </w:rPr>
  </w:style>
  <w:style w:type="paragraph" w:customStyle="1" w:styleId="Default">
    <w:name w:val="Default"/>
    <w:pPr>
      <w:widowControl w:val="0"/>
      <w:suppressAutoHyphens/>
      <w:spacing w:before="120" w:after="120"/>
      <w:ind w:firstLine="567"/>
      <w:jc w:val="both"/>
    </w:pPr>
    <w:rPr>
      <w:rFonts w:ascii="EU Albertina" w:eastAsia="Calibri" w:hAnsi="EU Albertina" w:cs="EU Albertina"/>
      <w:color w:val="000000"/>
      <w:sz w:val="24"/>
      <w:lang w:val="en-GB" w:eastAsia="zh-CN"/>
    </w:rPr>
  </w:style>
  <w:style w:type="paragraph" w:customStyle="1" w:styleId="listparagraph0">
    <w:name w:val="listparagraph"/>
    <w:basedOn w:val="Normal"/>
    <w:pPr>
      <w:suppressAutoHyphens w:val="0"/>
      <w:spacing w:after="200" w:line="276" w:lineRule="auto"/>
      <w:ind w:left="720"/>
    </w:pPr>
    <w:rPr>
      <w:rFonts w:ascii="Calibri" w:hAnsi="Calibri" w:cs="Calibri"/>
      <w:color w:val="00000A"/>
      <w:sz w:val="22"/>
      <w:szCs w:val="22"/>
    </w:rPr>
  </w:style>
  <w:style w:type="paragraph" w:styleId="PlainText">
    <w:name w:val="Plain Text"/>
    <w:basedOn w:val="Normal"/>
    <w:pPr>
      <w:suppressAutoHyphens w:val="0"/>
    </w:pPr>
    <w:rPr>
      <w:rFonts w:ascii="Calibri" w:eastAsia="Calibri" w:hAnsi="Calibri" w:cs="Calibri"/>
      <w:sz w:val="20"/>
      <w:szCs w:val="21"/>
      <w:lang w:val="x-none"/>
    </w:rPr>
  </w:style>
  <w:style w:type="paragraph" w:styleId="BodyText3">
    <w:name w:val="Body Text 3"/>
    <w:basedOn w:val="Normal"/>
    <w:pPr>
      <w:suppressAutoHyphens w:val="0"/>
      <w:jc w:val="both"/>
    </w:pPr>
    <w:rPr>
      <w:b/>
      <w:sz w:val="20"/>
      <w:lang w:val="x-none"/>
    </w:rPr>
  </w:style>
  <w:style w:type="paragraph" w:styleId="BodyTextIndent">
    <w:name w:val="Body Text Indent"/>
    <w:basedOn w:val="Normal"/>
    <w:pPr>
      <w:widowControl w:val="0"/>
      <w:spacing w:after="120"/>
      <w:ind w:left="283"/>
    </w:pPr>
    <w:rPr>
      <w:rFonts w:eastAsia="Lucida Sans Unicode"/>
      <w:lang w:val="x-none"/>
    </w:rPr>
  </w:style>
  <w:style w:type="paragraph" w:styleId="Revision">
    <w:name w:val="Revision"/>
    <w:pPr>
      <w:suppressAutoHyphens/>
    </w:pPr>
    <w:rPr>
      <w:color w:val="00000A"/>
      <w:sz w:val="24"/>
      <w:szCs w:val="24"/>
      <w:lang w:val="en-GB" w:eastAsia="zh-CN"/>
    </w:rPr>
  </w:style>
  <w:style w:type="paragraph" w:customStyle="1" w:styleId="Nosaukums1">
    <w:name w:val="Nosaukums1"/>
    <w:basedOn w:val="Normal"/>
    <w:pPr>
      <w:keepNext/>
      <w:widowControl w:val="0"/>
      <w:spacing w:before="240" w:after="120"/>
      <w:jc w:val="center"/>
    </w:pPr>
    <w:rPr>
      <w:rFonts w:ascii="FreeSerif" w:eastAsia="WenQuanYi Micro Hei" w:hAnsi="FreeSerif" w:cs="FreeSans"/>
      <w:b/>
      <w:bCs/>
      <w:color w:val="00000A"/>
      <w:sz w:val="56"/>
      <w:szCs w:val="56"/>
      <w:lang w:val="en-GB" w:bidi="hi-IN"/>
    </w:rPr>
  </w:style>
  <w:style w:type="paragraph" w:styleId="TOC1">
    <w:name w:val="toc 1"/>
    <w:basedOn w:val="Normal"/>
    <w:pPr>
      <w:widowControl w:val="0"/>
      <w:suppressLineNumbers/>
      <w:tabs>
        <w:tab w:val="right" w:leader="dot" w:pos="9638"/>
      </w:tabs>
    </w:pPr>
    <w:rPr>
      <w:rFonts w:ascii="FreeSerif" w:eastAsia="DejaVu Sans" w:hAnsi="FreeSerif" w:cs="FreeSans"/>
      <w:b/>
      <w:color w:val="00000A"/>
      <w:lang w:val="en-GB" w:bidi="hi-IN"/>
    </w:rPr>
  </w:style>
  <w:style w:type="paragraph" w:styleId="TOC2">
    <w:name w:val="toc 2"/>
    <w:basedOn w:val="Normal"/>
    <w:pPr>
      <w:widowControl w:val="0"/>
      <w:suppressLineNumbers/>
      <w:tabs>
        <w:tab w:val="right" w:leader="dot" w:pos="9355"/>
      </w:tabs>
      <w:ind w:left="283"/>
    </w:pPr>
    <w:rPr>
      <w:rFonts w:ascii="FreeSerif" w:eastAsia="DejaVu Sans" w:hAnsi="FreeSerif" w:cs="FreeSans"/>
      <w:color w:val="00000A"/>
      <w:lang w:val="en-GB" w:bidi="hi-IN"/>
    </w:rPr>
  </w:style>
  <w:style w:type="paragraph" w:customStyle="1" w:styleId="Heading1nonumber">
    <w:name w:val="Heading 1 nonumber"/>
    <w:basedOn w:val="Heading1"/>
    <w:pPr>
      <w:pageBreakBefore/>
      <w:widowControl w:val="0"/>
      <w:spacing w:after="120"/>
    </w:pPr>
    <w:rPr>
      <w:rFonts w:ascii="FreeSerif" w:eastAsia="WenQuanYi Micro Hei" w:hAnsi="FreeSerif" w:cs="FreeSans"/>
      <w:bCs w:val="0"/>
      <w:color w:val="000080"/>
      <w:kern w:val="0"/>
      <w:sz w:val="42"/>
      <w:szCs w:val="36"/>
      <w:lang w:val="en-GB" w:bidi="hi-IN"/>
    </w:rPr>
  </w:style>
  <w:style w:type="character" w:styleId="UnresolvedMention">
    <w:name w:val="Unresolved Mention"/>
    <w:uiPriority w:val="99"/>
    <w:semiHidden/>
    <w:unhideWhenUsed/>
    <w:rsid w:val="002A03F2"/>
    <w:rPr>
      <w:color w:val="605E5C"/>
      <w:shd w:val="clear" w:color="auto" w:fill="E1DFDD"/>
    </w:rPr>
  </w:style>
  <w:style w:type="character" w:customStyle="1" w:styleId="ui-provider">
    <w:name w:val="ui-provider"/>
    <w:basedOn w:val="DefaultParagraphFont"/>
    <w:rsid w:val="00E419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header" Target="header1.xml" /><Relationship Id="rId11" Type="http://schemas.openxmlformats.org/officeDocument/2006/relationships/footer" Target="footer1.xml" /><Relationship Id="rId12" Type="http://schemas.openxmlformats.org/officeDocument/2006/relationships/header" Target="header2.xml" /><Relationship Id="rId13" Type="http://schemas.openxmlformats.org/officeDocument/2006/relationships/footer" Target="footer2.xml" /><Relationship Id="rId14" Type="http://schemas.openxmlformats.org/officeDocument/2006/relationships/theme" Target="theme/theme1.xml"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hyperlink" Target="ftp://seginv@212.70.174.35/" TargetMode="External" /><Relationship Id="rId7" Type="http://schemas.openxmlformats.org/officeDocument/2006/relationships/hyperlink" Target="mailto:agita.gancone@kem.gov.lv" TargetMode="External" /><Relationship Id="rId8" Type="http://schemas.openxmlformats.org/officeDocument/2006/relationships/hyperlink" Target="mailto:arta.dimbiere@kem.gov.lv" TargetMode="External" /><Relationship Id="rId9" Type="http://schemas.openxmlformats.org/officeDocument/2006/relationships/hyperlink" Target="mailto:liga.platace@kem.gov.lv" TargetMode="External" /></Relationships>
</file>

<file path=word/_rels/footnotes.xml.rels><?xml version="1.0" encoding="utf-8" standalone="yes"?><Relationships xmlns="http://schemas.openxmlformats.org/package/2006/relationships"><Relationship Id="rId1" Type="http://schemas.openxmlformats.org/officeDocument/2006/relationships/hyperlink" Target="https://unfccc.int/national_reports/annex_i_ghg_inventories/reporting_requirements/items/2759.php" TargetMode="External" /><Relationship Id="rId2" Type="http://schemas.openxmlformats.org/officeDocument/2006/relationships/hyperlink" Target="https://eur-lex.europa.eu/legal-content/LV/ALL/?uri=CELEX:32020R1208" TargetMode="External" /><Relationship Id="rId3" Type="http://schemas.openxmlformats.org/officeDocument/2006/relationships/hyperlink" Target="https://unfccc.int/sites/default/files/resource/cma2018_3_add2_new_advance.pdf" TargetMode="External" /><Relationship Id="rId4" Type="http://schemas.openxmlformats.org/officeDocument/2006/relationships/hyperlink" Target="https://unfccc.int/sites/default/files/resource/cma3_auv_5_transparency_0.pdf"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DF7BF1-2E5F-49C2-9317-1609A9889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5</Pages>
  <Words>9715</Words>
  <Characters>5538</Characters>
  <Application>Microsoft Office Word</Application>
  <DocSecurity>0</DocSecurity>
  <Lines>46</Lines>
  <Paragraphs>30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LieneV</dc:creator>
  <cp:lastModifiedBy>Līga Platace</cp:lastModifiedBy>
  <cp:revision>108</cp:revision>
  <cp:lastPrinted>1995-11-21T23:41:00Z</cp:lastPrinted>
  <dcterms:created xsi:type="dcterms:W3CDTF">2023-04-05T12:37:00Z</dcterms:created>
  <dcterms:modified xsi:type="dcterms:W3CDTF">2023-06-20T12:22:00Z</dcterms:modified>
</cp:coreProperties>
</file>